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78" w:rsidRDefault="005C3678" w:rsidP="005C3678">
      <w:pPr>
        <w:jc w:val="both"/>
        <w:rPr>
          <w:rFonts w:ascii="Calibri" w:hAnsi="Calibri" w:cs="Arial"/>
          <w:b/>
          <w:bCs/>
          <w:lang w:val="es-ES"/>
        </w:rPr>
      </w:pPr>
      <w:bookmarkStart w:id="0" w:name="_GoBack"/>
      <w:bookmarkEnd w:id="0"/>
      <w:r>
        <w:rPr>
          <w:rFonts w:ascii="Calibri" w:hAnsi="Calibri" w:cs="Arial"/>
          <w:b/>
          <w:bCs/>
          <w:lang w:val="es-ES"/>
        </w:rPr>
        <w:t>Metodología Huella de Carbono</w:t>
      </w:r>
    </w:p>
    <w:p w:rsidR="005C3678" w:rsidRDefault="005C3678" w:rsidP="005C3678">
      <w:pPr>
        <w:jc w:val="both"/>
        <w:rPr>
          <w:rFonts w:ascii="Calibri" w:hAnsi="Calibri" w:cs="Arial"/>
          <w:b/>
          <w:bCs/>
          <w:lang w:val="es-ES"/>
        </w:rPr>
      </w:pPr>
    </w:p>
    <w:p w:rsidR="005C3678" w:rsidRPr="009C2DFA" w:rsidRDefault="005C3678" w:rsidP="005C3678">
      <w:pPr>
        <w:jc w:val="both"/>
        <w:rPr>
          <w:rFonts w:eastAsia="Times New Roman" w:cstheme="minorHAnsi"/>
          <w:i/>
          <w:sz w:val="24"/>
          <w:szCs w:val="24"/>
          <w:lang w:val="es-ES_tradnl" w:eastAsia="es-CL"/>
        </w:rPr>
      </w:pPr>
      <w:r w:rsidRPr="009C2DFA">
        <w:rPr>
          <w:rFonts w:ascii="Calibri" w:hAnsi="Calibri" w:cs="Arial"/>
          <w:b/>
          <w:bCs/>
          <w:lang w:val="es-ES"/>
        </w:rPr>
        <w:t>6.1</w:t>
      </w:r>
    </w:p>
    <w:p w:rsidR="005C3678" w:rsidRPr="007357A8" w:rsidRDefault="005C3678" w:rsidP="005C3678">
      <w:pPr>
        <w:jc w:val="both"/>
        <w:rPr>
          <w:rFonts w:eastAsia="Times New Roman" w:cstheme="minorHAnsi"/>
          <w:b/>
          <w:color w:val="4F6228" w:themeColor="accent3" w:themeShade="80"/>
          <w:sz w:val="24"/>
          <w:szCs w:val="24"/>
          <w:lang w:eastAsia="es-CL"/>
        </w:rPr>
      </w:pPr>
      <w:r w:rsidRPr="007357A8">
        <w:rPr>
          <w:rFonts w:ascii="Calibri" w:hAnsi="Calibri" w:cs="Arial"/>
          <w:b/>
          <w:color w:val="FF0000"/>
          <w:sz w:val="24"/>
          <w:szCs w:val="24"/>
        </w:rPr>
        <w:t xml:space="preserve">Evidencia. </w:t>
      </w:r>
      <w:r w:rsidRPr="007357A8">
        <w:rPr>
          <w:rFonts w:ascii="Calibri" w:hAnsi="Calibri" w:cs="Arial"/>
          <w:color w:val="FF0000"/>
          <w:sz w:val="24"/>
          <w:szCs w:val="24"/>
        </w:rPr>
        <w:t xml:space="preserve">La institución debe generar registro de consumo mensual y anual de energía eléctrica, diésel, gas natural, bencina. </w:t>
      </w:r>
      <w:r w:rsidRPr="007357A8">
        <w:rPr>
          <w:rFonts w:ascii="Calibri" w:hAnsi="Calibri" w:cs="Arial"/>
          <w:bCs/>
          <w:color w:val="FF0000"/>
          <w:sz w:val="24"/>
          <w:szCs w:val="24"/>
        </w:rPr>
        <w:t>Se sugiere periodo 2014. 2015 y 2016.</w:t>
      </w:r>
    </w:p>
    <w:p w:rsidR="005C3678" w:rsidRDefault="005C3678" w:rsidP="005C3678">
      <w:pPr>
        <w:jc w:val="both"/>
        <w:rPr>
          <w:rFonts w:eastAsia="Times New Roman" w:cstheme="minorHAnsi"/>
          <w:b/>
          <w:color w:val="4F6228" w:themeColor="accent3" w:themeShade="80"/>
          <w:sz w:val="24"/>
          <w:szCs w:val="24"/>
          <w:lang w:eastAsia="es-CL"/>
        </w:rPr>
      </w:pPr>
    </w:p>
    <w:p w:rsidR="005C3678" w:rsidRPr="003E269E" w:rsidRDefault="005C3678" w:rsidP="005C3678">
      <w:pPr>
        <w:jc w:val="both"/>
        <w:rPr>
          <w:rFonts w:eastAsia="Times New Roman" w:cstheme="minorHAnsi"/>
          <w:b/>
          <w:sz w:val="24"/>
          <w:szCs w:val="24"/>
          <w:lang w:eastAsia="es-CL"/>
        </w:rPr>
      </w:pPr>
      <w:r w:rsidRPr="003E269E">
        <w:rPr>
          <w:rFonts w:eastAsia="Times New Roman" w:cstheme="minorHAnsi"/>
          <w:b/>
          <w:sz w:val="24"/>
          <w:szCs w:val="24"/>
          <w:lang w:eastAsia="es-CL"/>
        </w:rPr>
        <w:t>Acción</w:t>
      </w:r>
    </w:p>
    <w:p w:rsidR="005C3678" w:rsidRPr="009F003B" w:rsidRDefault="005C3678" w:rsidP="005C3678">
      <w:pPr>
        <w:jc w:val="both"/>
        <w:rPr>
          <w:rFonts w:ascii="Calibri" w:hAnsi="Calibri" w:cs="Tahoma"/>
          <w:sz w:val="18"/>
          <w:szCs w:val="18"/>
          <w:lang w:val="es-ES_tradnl"/>
        </w:rPr>
      </w:pPr>
      <w:r w:rsidRPr="009F003B">
        <w:rPr>
          <w:rFonts w:ascii="Calibri" w:hAnsi="Calibri" w:cs="Tahoma"/>
          <w:sz w:val="18"/>
          <w:szCs w:val="18"/>
          <w:lang w:val="es-ES_tradnl"/>
        </w:rPr>
        <w:t>Las instalaciones registrarán la siguiente información, relacionada con energía y combustibles:</w:t>
      </w:r>
    </w:p>
    <w:p w:rsidR="005C3678" w:rsidRPr="009F003B" w:rsidRDefault="005C3678" w:rsidP="005C3678">
      <w:pPr>
        <w:numPr>
          <w:ilvl w:val="0"/>
          <w:numId w:val="1"/>
        </w:numPr>
        <w:jc w:val="both"/>
        <w:rPr>
          <w:rFonts w:ascii="Calibri" w:hAnsi="Calibri" w:cs="Tahoma"/>
          <w:sz w:val="18"/>
          <w:szCs w:val="18"/>
          <w:lang w:val="es-ES_tradnl"/>
        </w:rPr>
      </w:pPr>
      <w:r w:rsidRPr="009F003B">
        <w:rPr>
          <w:rFonts w:ascii="Calibri" w:hAnsi="Calibri" w:cs="Tahoma"/>
          <w:sz w:val="18"/>
          <w:szCs w:val="18"/>
          <w:lang w:val="es-ES_tradnl"/>
        </w:rPr>
        <w:t>Nómina de los tipos de energía consumidas, diferenciado por tipo de combustible y tipo de uso de los equipos (fijos o móviles).</w:t>
      </w:r>
    </w:p>
    <w:p w:rsidR="005C3678" w:rsidRPr="009F003B" w:rsidRDefault="005C3678" w:rsidP="005C3678">
      <w:pPr>
        <w:numPr>
          <w:ilvl w:val="0"/>
          <w:numId w:val="1"/>
        </w:numPr>
        <w:jc w:val="both"/>
        <w:rPr>
          <w:rFonts w:ascii="Calibri" w:hAnsi="Calibri" w:cs="Tahoma"/>
          <w:sz w:val="18"/>
          <w:szCs w:val="18"/>
          <w:lang w:val="es-ES_tradnl"/>
        </w:rPr>
      </w:pPr>
      <w:r w:rsidRPr="009F003B">
        <w:rPr>
          <w:rFonts w:ascii="Calibri" w:hAnsi="Calibri" w:cs="Tahoma"/>
          <w:sz w:val="18"/>
          <w:szCs w:val="18"/>
          <w:lang w:val="es-ES_tradnl"/>
        </w:rPr>
        <w:t>Principales equipos empleados en los procesos.</w:t>
      </w:r>
    </w:p>
    <w:p w:rsidR="005C3678" w:rsidRPr="009F003B" w:rsidRDefault="005C3678" w:rsidP="005C3678">
      <w:pPr>
        <w:numPr>
          <w:ilvl w:val="0"/>
          <w:numId w:val="1"/>
        </w:numPr>
        <w:jc w:val="both"/>
        <w:rPr>
          <w:rFonts w:ascii="Calibri" w:hAnsi="Calibri" w:cs="Tahoma"/>
          <w:sz w:val="18"/>
          <w:szCs w:val="18"/>
          <w:lang w:val="es-ES_tradnl"/>
        </w:rPr>
      </w:pPr>
      <w:r w:rsidRPr="009F003B">
        <w:rPr>
          <w:rFonts w:ascii="Calibri" w:hAnsi="Calibri" w:cs="Tahoma"/>
          <w:sz w:val="18"/>
          <w:szCs w:val="18"/>
          <w:lang w:val="es-ES_tradnl"/>
        </w:rPr>
        <w:t xml:space="preserve">Consumo mensual y anual de energía eléctrica en </w:t>
      </w:r>
      <w:proofErr w:type="spellStart"/>
      <w:r w:rsidRPr="009F003B">
        <w:rPr>
          <w:rFonts w:ascii="Calibri" w:hAnsi="Calibri" w:cs="Tahoma"/>
          <w:sz w:val="18"/>
          <w:szCs w:val="18"/>
          <w:lang w:val="es-ES_tradnl"/>
        </w:rPr>
        <w:t>kWh</w:t>
      </w:r>
      <w:proofErr w:type="spellEnd"/>
      <w:r w:rsidRPr="009F003B">
        <w:rPr>
          <w:rFonts w:ascii="Calibri" w:hAnsi="Calibri" w:cs="Tahoma"/>
          <w:sz w:val="18"/>
          <w:szCs w:val="18"/>
          <w:lang w:val="es-ES_tradnl"/>
        </w:rPr>
        <w:t>.</w:t>
      </w:r>
    </w:p>
    <w:p w:rsidR="005C3678" w:rsidRPr="009F003B" w:rsidRDefault="005C3678" w:rsidP="005C3678">
      <w:pPr>
        <w:numPr>
          <w:ilvl w:val="0"/>
          <w:numId w:val="1"/>
        </w:numPr>
        <w:jc w:val="both"/>
        <w:rPr>
          <w:rFonts w:ascii="Calibri" w:hAnsi="Calibri" w:cs="Tahoma"/>
          <w:sz w:val="18"/>
          <w:szCs w:val="18"/>
          <w:lang w:val="es-ES_tradnl"/>
        </w:rPr>
      </w:pPr>
      <w:r w:rsidRPr="009F003B">
        <w:rPr>
          <w:rFonts w:ascii="Calibri" w:hAnsi="Calibri" w:cs="Tahoma"/>
          <w:sz w:val="18"/>
          <w:szCs w:val="18"/>
          <w:lang w:val="es-ES_tradnl"/>
        </w:rPr>
        <w:t xml:space="preserve">Consumo mensual y anual de petróleo en </w:t>
      </w:r>
      <w:proofErr w:type="spellStart"/>
      <w:r w:rsidRPr="009F003B">
        <w:rPr>
          <w:rFonts w:ascii="Calibri" w:hAnsi="Calibri" w:cs="Tahoma"/>
          <w:sz w:val="18"/>
          <w:szCs w:val="18"/>
          <w:lang w:val="es-ES_tradnl"/>
        </w:rPr>
        <w:t>Lt</w:t>
      </w:r>
      <w:proofErr w:type="spellEnd"/>
      <w:r w:rsidRPr="009F003B">
        <w:rPr>
          <w:rFonts w:ascii="Calibri" w:hAnsi="Calibri" w:cs="Tahoma"/>
          <w:sz w:val="18"/>
          <w:szCs w:val="18"/>
          <w:lang w:val="es-ES_tradnl"/>
        </w:rPr>
        <w:t xml:space="preserve"> o m3.</w:t>
      </w:r>
    </w:p>
    <w:p w:rsidR="005C3678" w:rsidRPr="009F003B" w:rsidRDefault="005C3678" w:rsidP="005C3678">
      <w:pPr>
        <w:numPr>
          <w:ilvl w:val="0"/>
          <w:numId w:val="1"/>
        </w:numPr>
        <w:jc w:val="both"/>
        <w:rPr>
          <w:rFonts w:ascii="Calibri" w:hAnsi="Calibri" w:cs="Tahoma"/>
          <w:sz w:val="18"/>
          <w:szCs w:val="18"/>
          <w:lang w:val="es-ES_tradnl"/>
        </w:rPr>
      </w:pPr>
      <w:r w:rsidRPr="009F003B">
        <w:rPr>
          <w:rFonts w:ascii="Calibri" w:hAnsi="Calibri" w:cs="Tahoma"/>
          <w:sz w:val="18"/>
          <w:szCs w:val="18"/>
          <w:lang w:val="es-ES_tradnl"/>
        </w:rPr>
        <w:t>Consumo mensual y anual de gas en m3.</w:t>
      </w:r>
    </w:p>
    <w:p w:rsidR="005C3678" w:rsidRPr="009F003B" w:rsidRDefault="005C3678" w:rsidP="005C3678">
      <w:pPr>
        <w:jc w:val="both"/>
        <w:rPr>
          <w:rFonts w:ascii="Calibri" w:hAnsi="Calibri" w:cs="Tahoma"/>
          <w:sz w:val="18"/>
          <w:szCs w:val="18"/>
          <w:lang w:val="es-ES_tradnl"/>
        </w:rPr>
      </w:pPr>
      <w:r w:rsidRPr="009F003B">
        <w:rPr>
          <w:rFonts w:ascii="Calibri" w:hAnsi="Calibri" w:cs="Tahoma"/>
          <w:sz w:val="18"/>
          <w:szCs w:val="18"/>
          <w:lang w:val="es-ES_tradnl"/>
        </w:rPr>
        <w:t>El registro deberá seguir el formato establecido en el Anexo N° 2 del Acuerdo.</w:t>
      </w:r>
    </w:p>
    <w:p w:rsidR="005C3678" w:rsidRPr="003E269E" w:rsidRDefault="005C3678" w:rsidP="005C3678">
      <w:pPr>
        <w:jc w:val="both"/>
        <w:rPr>
          <w:rFonts w:eastAsia="Times New Roman" w:cstheme="minorHAnsi"/>
          <w:b/>
          <w:color w:val="4F6228" w:themeColor="accent3" w:themeShade="80"/>
          <w:sz w:val="24"/>
          <w:szCs w:val="24"/>
          <w:lang w:val="es-ES_tradnl" w:eastAsia="es-CL"/>
        </w:rPr>
      </w:pPr>
    </w:p>
    <w:p w:rsidR="005C3678" w:rsidRDefault="005C3678" w:rsidP="005C3678">
      <w:pPr>
        <w:jc w:val="both"/>
      </w:pPr>
      <w:r>
        <w:t>Para el cálculo de la huella de carbono se utiliza la metodología de green house protocol y se sigue el mismo orden que se plantea en la Meta N° 6.</w:t>
      </w:r>
    </w:p>
    <w:p w:rsidR="005C3678" w:rsidRDefault="005C3678" w:rsidP="005C3678">
      <w:pPr>
        <w:jc w:val="both"/>
      </w:pPr>
    </w:p>
    <w:p w:rsidR="005C3678" w:rsidRPr="00041CFA" w:rsidRDefault="005C3678" w:rsidP="005C3678">
      <w:pPr>
        <w:jc w:val="both"/>
      </w:pPr>
    </w:p>
    <w:p w:rsidR="005C3678" w:rsidRPr="00137FE2" w:rsidRDefault="005C3678" w:rsidP="005C3678">
      <w:pPr>
        <w:pStyle w:val="Prrafodelista"/>
        <w:numPr>
          <w:ilvl w:val="0"/>
          <w:numId w:val="2"/>
        </w:numPr>
        <w:jc w:val="both"/>
        <w:rPr>
          <w:bCs/>
        </w:rPr>
      </w:pPr>
      <w:r w:rsidRPr="00137FE2">
        <w:rPr>
          <w:b/>
          <w:bCs/>
        </w:rPr>
        <w:t xml:space="preserve">Acción 6.1 </w:t>
      </w:r>
      <w:r w:rsidRPr="00137FE2">
        <w:rPr>
          <w:bCs/>
        </w:rPr>
        <w:t>Las instalaciones registrarán la siguiente información, relacionada con energía y combustibles</w:t>
      </w:r>
      <w:r w:rsidRPr="00041CFA">
        <w:rPr>
          <w:rStyle w:val="Refdenotaalpie"/>
          <w:bCs/>
        </w:rPr>
        <w:footnoteReference w:id="1"/>
      </w:r>
      <w:r w:rsidRPr="00137FE2">
        <w:rPr>
          <w:bCs/>
        </w:rPr>
        <w:t>:</w:t>
      </w:r>
    </w:p>
    <w:p w:rsidR="005C3678" w:rsidRDefault="005C3678" w:rsidP="005C3678">
      <w:pPr>
        <w:pStyle w:val="Prrafodelista"/>
        <w:numPr>
          <w:ilvl w:val="0"/>
          <w:numId w:val="4"/>
        </w:numPr>
        <w:jc w:val="both"/>
        <w:rPr>
          <w:bCs/>
        </w:rPr>
      </w:pPr>
      <w:r w:rsidRPr="00926FFC">
        <w:rPr>
          <w:bCs/>
          <w:u w:val="single"/>
        </w:rPr>
        <w:t>Nómina de los tipos de energía consumidas</w:t>
      </w:r>
      <w:r w:rsidRPr="00041CFA">
        <w:rPr>
          <w:bCs/>
        </w:rPr>
        <w:t>, diferenciado por tipo de combustible y tipo de uso de los equipos (fijos o móviles).</w:t>
      </w:r>
    </w:p>
    <w:p w:rsidR="005C3678" w:rsidRDefault="005C3678" w:rsidP="005C3678">
      <w:pPr>
        <w:ind w:left="709"/>
        <w:jc w:val="both"/>
        <w:rPr>
          <w:bCs/>
        </w:rPr>
      </w:pPr>
    </w:p>
    <w:p w:rsidR="005C3678" w:rsidRDefault="005C3678" w:rsidP="005C3678">
      <w:pPr>
        <w:ind w:left="709"/>
        <w:jc w:val="both"/>
        <w:rPr>
          <w:bCs/>
        </w:rPr>
      </w:pPr>
      <w:r>
        <w:rPr>
          <w:bCs/>
        </w:rPr>
        <w:t>En la UMCE, campus Macul se consumen los siguientes tipos de energía:</w:t>
      </w:r>
    </w:p>
    <w:p w:rsidR="005C3678" w:rsidRDefault="005C3678" w:rsidP="005C3678">
      <w:pPr>
        <w:pStyle w:val="Prrafodelista"/>
        <w:numPr>
          <w:ilvl w:val="0"/>
          <w:numId w:val="5"/>
        </w:numPr>
        <w:jc w:val="both"/>
        <w:rPr>
          <w:bCs/>
        </w:rPr>
      </w:pPr>
      <w:r w:rsidRPr="006578D5">
        <w:rPr>
          <w:bCs/>
          <w:u w:val="single"/>
        </w:rPr>
        <w:t>Energía eléctrica</w:t>
      </w:r>
      <w:r>
        <w:rPr>
          <w:bCs/>
        </w:rPr>
        <w:t>, utilizada para iluminación, refrigeración, acondicionadores de aire, equipos electrónicos y motores de máquinas específicas (arte, laboratorios, etc.)</w:t>
      </w:r>
    </w:p>
    <w:p w:rsidR="005C3678" w:rsidRDefault="005C3678" w:rsidP="005C3678">
      <w:pPr>
        <w:pStyle w:val="Prrafodelista"/>
        <w:numPr>
          <w:ilvl w:val="0"/>
          <w:numId w:val="5"/>
        </w:numPr>
        <w:jc w:val="both"/>
        <w:rPr>
          <w:bCs/>
        </w:rPr>
      </w:pPr>
      <w:r>
        <w:rPr>
          <w:bCs/>
          <w:u w:val="single"/>
        </w:rPr>
        <w:t>Gas ciudad</w:t>
      </w:r>
      <w:r>
        <w:rPr>
          <w:bCs/>
        </w:rPr>
        <w:t xml:space="preserve">, cocinas, agua caliente, laboratorios, talleres, calefacción.  </w:t>
      </w:r>
      <w:r>
        <w:rPr>
          <w:bCs/>
          <w:u w:val="single"/>
        </w:rPr>
        <w:t>Gas licuado</w:t>
      </w:r>
      <w:r>
        <w:rPr>
          <w:bCs/>
        </w:rPr>
        <w:t xml:space="preserve">, básicamente calefacción, aunque marginalmente también se utiliza en talleres.  </w:t>
      </w:r>
    </w:p>
    <w:p w:rsidR="005C3678" w:rsidRPr="00041CFA" w:rsidRDefault="005C3678" w:rsidP="005C3678">
      <w:pPr>
        <w:pStyle w:val="Prrafodelista"/>
        <w:numPr>
          <w:ilvl w:val="0"/>
          <w:numId w:val="5"/>
        </w:numPr>
        <w:jc w:val="both"/>
        <w:rPr>
          <w:bCs/>
        </w:rPr>
      </w:pPr>
      <w:r>
        <w:rPr>
          <w:bCs/>
          <w:u w:val="single"/>
        </w:rPr>
        <w:t>Bencina y Petróleo</w:t>
      </w:r>
      <w:r>
        <w:rPr>
          <w:bCs/>
        </w:rPr>
        <w:t xml:space="preserve">, fundamentalmente en el bus y automóviles institucionales.  </w:t>
      </w:r>
    </w:p>
    <w:p w:rsidR="005C3678" w:rsidRPr="00041CFA" w:rsidRDefault="005C3678" w:rsidP="005C3678">
      <w:pPr>
        <w:rPr>
          <w:bCs/>
        </w:rPr>
      </w:pPr>
    </w:p>
    <w:p w:rsidR="005C3678" w:rsidRDefault="005C3678" w:rsidP="005C3678">
      <w:pPr>
        <w:pStyle w:val="Prrafodelista"/>
        <w:numPr>
          <w:ilvl w:val="0"/>
          <w:numId w:val="4"/>
        </w:numPr>
        <w:rPr>
          <w:bCs/>
        </w:rPr>
      </w:pPr>
      <w:r w:rsidRPr="00926FFC">
        <w:rPr>
          <w:bCs/>
          <w:u w:val="single"/>
        </w:rPr>
        <w:t>Principales equipos empleados en los procesos</w:t>
      </w:r>
      <w:r w:rsidRPr="00041CFA">
        <w:rPr>
          <w:bCs/>
        </w:rPr>
        <w:t>.</w:t>
      </w:r>
    </w:p>
    <w:p w:rsidR="005C3678" w:rsidRDefault="005C3678" w:rsidP="005C3678">
      <w:pPr>
        <w:ind w:left="708"/>
        <w:jc w:val="both"/>
        <w:rPr>
          <w:bCs/>
        </w:rPr>
      </w:pPr>
    </w:p>
    <w:p w:rsidR="005C3678" w:rsidRPr="00206EBC" w:rsidRDefault="005C3678" w:rsidP="005C3678">
      <w:pPr>
        <w:ind w:left="708"/>
        <w:jc w:val="both"/>
        <w:rPr>
          <w:bCs/>
        </w:rPr>
      </w:pPr>
      <w:r w:rsidRPr="00206EBC">
        <w:rPr>
          <w:bCs/>
        </w:rPr>
        <w:t xml:space="preserve">No se utilizan equipos especiales, aparte de lo mencionado en el punto anterior, vale decir, no hay maquinarias y equipos adicionales.   </w:t>
      </w:r>
    </w:p>
    <w:p w:rsidR="005C3678" w:rsidRPr="006436A7" w:rsidRDefault="005C3678" w:rsidP="005C3678">
      <w:pPr>
        <w:rPr>
          <w:bCs/>
        </w:rPr>
      </w:pPr>
    </w:p>
    <w:p w:rsidR="005C3678" w:rsidRDefault="005C3678" w:rsidP="005C3678">
      <w:pPr>
        <w:pStyle w:val="Prrafodelista"/>
        <w:numPr>
          <w:ilvl w:val="0"/>
          <w:numId w:val="4"/>
        </w:numPr>
        <w:rPr>
          <w:bCs/>
        </w:rPr>
      </w:pPr>
      <w:r w:rsidRPr="00926FFC">
        <w:rPr>
          <w:bCs/>
          <w:u w:val="single"/>
        </w:rPr>
        <w:t>Consumo mensual y anual de energía eléctrica en kWh</w:t>
      </w:r>
      <w:r w:rsidRPr="00041CFA">
        <w:rPr>
          <w:bCs/>
        </w:rPr>
        <w:t>.</w:t>
      </w:r>
    </w:p>
    <w:p w:rsidR="005C3678" w:rsidRPr="00930A40" w:rsidRDefault="005C3678" w:rsidP="005C3678">
      <w:pPr>
        <w:ind w:left="360"/>
        <w:jc w:val="both"/>
        <w:rPr>
          <w:bCs/>
        </w:rPr>
      </w:pPr>
    </w:p>
    <w:p w:rsidR="005C3678" w:rsidRPr="00137FE2" w:rsidRDefault="005C3678" w:rsidP="005C3678">
      <w:pPr>
        <w:pStyle w:val="Prrafodelista"/>
        <w:jc w:val="both"/>
        <w:rPr>
          <w:bCs/>
        </w:rPr>
      </w:pPr>
      <w:r>
        <w:rPr>
          <w:bCs/>
        </w:rPr>
        <w:t>Para la energía eléctrica la recopilación de información se encuentra en proceso y a la fecha contamos con información mensual para el período comprendido entre sept. 2015 y agosto 2016, vale decir, un año</w:t>
      </w:r>
      <w:r>
        <w:rPr>
          <w:rStyle w:val="Refdenotaalpie"/>
          <w:bCs/>
        </w:rPr>
        <w:footnoteReference w:id="2"/>
      </w:r>
      <w:r>
        <w:rPr>
          <w:bCs/>
        </w:rPr>
        <w:t xml:space="preserve">.  Llama la atención la cifra de abril por cuanto aparece como una anomalía en la tendencia creciente.  Estamos re chequeando datos para correcciones. </w:t>
      </w:r>
    </w:p>
    <w:p w:rsidR="005C3678" w:rsidRDefault="005C3678" w:rsidP="005C3678">
      <w:pPr>
        <w:pStyle w:val="Prrafodelista"/>
        <w:jc w:val="center"/>
        <w:rPr>
          <w:bCs/>
        </w:rPr>
      </w:pPr>
    </w:p>
    <w:p w:rsidR="005C3678" w:rsidRPr="00EC0027" w:rsidRDefault="005C3678" w:rsidP="005C3678">
      <w:pPr>
        <w:pStyle w:val="Prrafodelista"/>
        <w:jc w:val="center"/>
        <w:rPr>
          <w:b/>
          <w:bCs/>
          <w:color w:val="FF0000"/>
        </w:rPr>
      </w:pPr>
      <w:r w:rsidRPr="00930A40">
        <w:rPr>
          <w:b/>
          <w:bCs/>
          <w:color w:val="FF0000"/>
        </w:rPr>
        <w:lastRenderedPageBreak/>
        <w:t>Pendiente en espera de chequeo información mes de abril de 2016</w:t>
      </w:r>
      <w:r>
        <w:rPr>
          <w:rStyle w:val="Refdenotaalpie"/>
          <w:b/>
          <w:bCs/>
          <w:color w:val="FF0000"/>
        </w:rPr>
        <w:footnoteReference w:id="3"/>
      </w:r>
    </w:p>
    <w:p w:rsidR="005C3678" w:rsidRDefault="005C3678" w:rsidP="005C3678">
      <w:pPr>
        <w:pStyle w:val="Prrafodelista"/>
        <w:rPr>
          <w:bCs/>
        </w:rPr>
      </w:pPr>
      <w:r w:rsidRPr="002D4A09">
        <w:rPr>
          <w:bCs/>
          <w:noProof/>
          <w:lang w:val="es-ES" w:eastAsia="es-ES"/>
        </w:rPr>
        <w:drawing>
          <wp:inline distT="0" distB="0" distL="0" distR="0" wp14:anchorId="27C23F2B" wp14:editId="61FE14AF">
            <wp:extent cx="4147433" cy="2584174"/>
            <wp:effectExtent l="19050" t="0" r="24517" b="6626"/>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3678" w:rsidRPr="00DA7E7C" w:rsidRDefault="005C3678" w:rsidP="005C3678">
      <w:pPr>
        <w:ind w:firstLine="708"/>
        <w:jc w:val="both"/>
        <w:rPr>
          <w:rFonts w:eastAsia="Times New Roman" w:cstheme="minorHAnsi"/>
          <w:bCs/>
          <w:sz w:val="18"/>
          <w:szCs w:val="18"/>
          <w:lang w:eastAsia="es-CL"/>
        </w:rPr>
      </w:pPr>
      <w:r>
        <w:rPr>
          <w:rFonts w:eastAsia="Times New Roman" w:cstheme="minorHAnsi"/>
          <w:bCs/>
          <w:sz w:val="18"/>
          <w:szCs w:val="18"/>
          <w:lang w:eastAsia="es-CL"/>
        </w:rPr>
        <w:t xml:space="preserve">Fuente: elaboración </w:t>
      </w:r>
      <w:r w:rsidRPr="00DA7E7C">
        <w:rPr>
          <w:rFonts w:eastAsia="Times New Roman" w:cstheme="minorHAnsi"/>
          <w:bCs/>
          <w:sz w:val="18"/>
          <w:szCs w:val="18"/>
          <w:lang w:eastAsia="es-CL"/>
        </w:rPr>
        <w:t xml:space="preserve">propia </w:t>
      </w:r>
    </w:p>
    <w:p w:rsidR="005C3678" w:rsidRDefault="005C3678" w:rsidP="005C3678">
      <w:pPr>
        <w:pStyle w:val="Prrafodelista"/>
        <w:rPr>
          <w:bCs/>
        </w:rPr>
      </w:pPr>
    </w:p>
    <w:p w:rsidR="005C3678" w:rsidRDefault="005C3678" w:rsidP="005C3678">
      <w:pPr>
        <w:pStyle w:val="Prrafodelista"/>
        <w:rPr>
          <w:bCs/>
        </w:rPr>
      </w:pPr>
    </w:p>
    <w:p w:rsidR="005C3678" w:rsidRDefault="005C3678" w:rsidP="005C3678">
      <w:pPr>
        <w:pStyle w:val="Prrafodelista"/>
        <w:rPr>
          <w:bCs/>
        </w:rPr>
      </w:pPr>
      <w:r>
        <w:rPr>
          <w:bCs/>
        </w:rPr>
        <w:t xml:space="preserve">Detalles en archivo ANEXO 7.2 Chilectra gasto mes y Co2 eq.   </w:t>
      </w:r>
    </w:p>
    <w:p w:rsidR="005C3678" w:rsidRDefault="005C3678" w:rsidP="005C3678">
      <w:pPr>
        <w:pStyle w:val="Prrafodelista"/>
        <w:rPr>
          <w:bCs/>
        </w:rPr>
      </w:pPr>
    </w:p>
    <w:p w:rsidR="005C3678" w:rsidRPr="00926FFC" w:rsidRDefault="005C3678" w:rsidP="005C3678">
      <w:pPr>
        <w:pStyle w:val="Prrafodelista"/>
        <w:numPr>
          <w:ilvl w:val="0"/>
          <w:numId w:val="4"/>
        </w:numPr>
        <w:rPr>
          <w:bCs/>
          <w:u w:val="single"/>
        </w:rPr>
      </w:pPr>
      <w:r w:rsidRPr="00926FFC">
        <w:rPr>
          <w:bCs/>
          <w:u w:val="single"/>
        </w:rPr>
        <w:t>Consumo mensual y anual de petróleo en Lt o m3.</w:t>
      </w:r>
    </w:p>
    <w:p w:rsidR="005C3678" w:rsidRDefault="005C3678" w:rsidP="005C3678">
      <w:pPr>
        <w:pStyle w:val="Prrafodelista"/>
        <w:rPr>
          <w:bCs/>
        </w:rPr>
      </w:pPr>
    </w:p>
    <w:p w:rsidR="005C3678" w:rsidRPr="00206EBC" w:rsidRDefault="005C3678" w:rsidP="005C3678">
      <w:pPr>
        <w:pStyle w:val="Prrafodelista"/>
        <w:rPr>
          <w:bCs/>
        </w:rPr>
      </w:pPr>
      <w:r>
        <w:rPr>
          <w:bCs/>
        </w:rPr>
        <w:t xml:space="preserve">El campus Macul de la UMCE no utiliza petróleo en ninguna de sus actividades.  </w:t>
      </w:r>
    </w:p>
    <w:p w:rsidR="005C3678" w:rsidRPr="00206EBC" w:rsidRDefault="005C3678" w:rsidP="005C3678">
      <w:pPr>
        <w:rPr>
          <w:bCs/>
        </w:rPr>
      </w:pPr>
    </w:p>
    <w:p w:rsidR="005C3678" w:rsidRPr="00926FFC" w:rsidRDefault="005C3678" w:rsidP="005C3678">
      <w:pPr>
        <w:pStyle w:val="Prrafodelista"/>
        <w:numPr>
          <w:ilvl w:val="0"/>
          <w:numId w:val="4"/>
        </w:numPr>
        <w:rPr>
          <w:bCs/>
          <w:u w:val="single"/>
        </w:rPr>
      </w:pPr>
      <w:r w:rsidRPr="00926FFC">
        <w:rPr>
          <w:bCs/>
          <w:u w:val="single"/>
        </w:rPr>
        <w:t>Consumo mensual y anual de gas en m3</w:t>
      </w:r>
    </w:p>
    <w:p w:rsidR="005C3678" w:rsidRDefault="005C3678" w:rsidP="005C3678">
      <w:pPr>
        <w:pStyle w:val="Prrafodelista"/>
        <w:rPr>
          <w:bCs/>
        </w:rPr>
      </w:pPr>
    </w:p>
    <w:p w:rsidR="005C3678" w:rsidRDefault="005C3678" w:rsidP="005C3678">
      <w:pPr>
        <w:pStyle w:val="Prrafodelista"/>
        <w:jc w:val="both"/>
        <w:rPr>
          <w:bCs/>
        </w:rPr>
      </w:pPr>
      <w:r>
        <w:rPr>
          <w:bCs/>
        </w:rPr>
        <w:t>El consumo de gas en el campus Macul proviene de dos fuentes: gas licuado y gas de cañería o gas ciudad.</w:t>
      </w:r>
    </w:p>
    <w:p w:rsidR="005C3678" w:rsidRDefault="005C3678" w:rsidP="005C3678">
      <w:pPr>
        <w:pStyle w:val="Prrafodelista"/>
        <w:rPr>
          <w:bCs/>
        </w:rPr>
      </w:pPr>
    </w:p>
    <w:p w:rsidR="005C3678" w:rsidRPr="008F5250" w:rsidRDefault="005C3678" w:rsidP="005C3678">
      <w:pPr>
        <w:pStyle w:val="Prrafodelista"/>
        <w:rPr>
          <w:bCs/>
          <w:u w:val="single"/>
        </w:rPr>
      </w:pPr>
      <w:r w:rsidRPr="008F5250">
        <w:rPr>
          <w:bCs/>
          <w:u w:val="single"/>
        </w:rPr>
        <w:t xml:space="preserve">Gas licuado </w:t>
      </w:r>
    </w:p>
    <w:p w:rsidR="005C3678" w:rsidRDefault="005C3678" w:rsidP="005C3678">
      <w:pPr>
        <w:pStyle w:val="Prrafodelista"/>
        <w:jc w:val="both"/>
        <w:rPr>
          <w:bCs/>
        </w:rPr>
      </w:pPr>
      <w:r>
        <w:rPr>
          <w:bCs/>
        </w:rPr>
        <w:t>Las compras se realizan en grandes volúmenes de modo que usualmente se hacen dos o tres compras anuales.  Por lo anterior, no es posible entregar resultados en forma mensual.  Sin embargo, se entrega la información de compras y de consumo en forma anual.</w:t>
      </w:r>
    </w:p>
    <w:p w:rsidR="005C3678" w:rsidRDefault="005C3678" w:rsidP="005C3678">
      <w:pPr>
        <w:pStyle w:val="Prrafodelista"/>
        <w:jc w:val="both"/>
        <w:rPr>
          <w:bCs/>
        </w:rPr>
      </w:pPr>
    </w:p>
    <w:p w:rsidR="005C3678" w:rsidRDefault="005C3678" w:rsidP="005C3678">
      <w:pPr>
        <w:pStyle w:val="Prrafodelista"/>
        <w:jc w:val="center"/>
        <w:rPr>
          <w:bCs/>
        </w:rPr>
      </w:pPr>
      <w:r>
        <w:rPr>
          <w:bCs/>
        </w:rPr>
        <w:t>Tabla N</w:t>
      </w:r>
      <w:r w:rsidRPr="00C43040">
        <w:rPr>
          <w:bCs/>
        </w:rPr>
        <w:t xml:space="preserve">° 1  (anexo 6.1 </w:t>
      </w:r>
      <w:r>
        <w:rPr>
          <w:bCs/>
        </w:rPr>
        <w:t xml:space="preserve">metro gas con </w:t>
      </w:r>
      <w:r w:rsidRPr="00C43040">
        <w:rPr>
          <w:bCs/>
        </w:rPr>
        <w:t>emisiones.xls)</w:t>
      </w:r>
    </w:p>
    <w:p w:rsidR="005C3678" w:rsidRDefault="005C3678" w:rsidP="005C3678">
      <w:pPr>
        <w:pStyle w:val="Prrafodelista"/>
        <w:jc w:val="center"/>
        <w:rPr>
          <w:bCs/>
        </w:rPr>
      </w:pPr>
      <w:r>
        <w:rPr>
          <w:bCs/>
        </w:rPr>
        <w:t>Compras gas licuado años 2015 y 2016</w:t>
      </w:r>
    </w:p>
    <w:tbl>
      <w:tblPr>
        <w:tblStyle w:val="Tablaconcuadrcula"/>
        <w:tblW w:w="0" w:type="auto"/>
        <w:tblInd w:w="720" w:type="dxa"/>
        <w:tblLook w:val="04A0" w:firstRow="1" w:lastRow="0" w:firstColumn="1" w:lastColumn="0" w:noHBand="0" w:noVBand="1"/>
      </w:tblPr>
      <w:tblGrid>
        <w:gridCol w:w="1693"/>
        <w:gridCol w:w="1665"/>
        <w:gridCol w:w="1669"/>
        <w:gridCol w:w="1650"/>
        <w:gridCol w:w="1657"/>
      </w:tblGrid>
      <w:tr w:rsidR="005C3678" w:rsidRPr="00DA5E33" w:rsidTr="005C3678">
        <w:tc>
          <w:tcPr>
            <w:tcW w:w="1693" w:type="dxa"/>
          </w:tcPr>
          <w:p w:rsidR="005C3678" w:rsidRPr="00DA5E33" w:rsidRDefault="005C3678" w:rsidP="005C3678">
            <w:pPr>
              <w:pStyle w:val="Prrafodelista"/>
              <w:ind w:left="0"/>
              <w:rPr>
                <w:rFonts w:cstheme="minorHAnsi"/>
                <w:bCs/>
                <w:sz w:val="20"/>
                <w:szCs w:val="20"/>
              </w:rPr>
            </w:pPr>
            <w:r w:rsidRPr="008F5250">
              <w:rPr>
                <w:rFonts w:eastAsia="Times New Roman" w:cstheme="minorHAnsi"/>
                <w:b/>
                <w:bCs/>
                <w:sz w:val="20"/>
                <w:szCs w:val="20"/>
                <w:lang w:eastAsia="es-CL"/>
              </w:rPr>
              <w:t>Proveedor</w:t>
            </w:r>
          </w:p>
        </w:tc>
        <w:tc>
          <w:tcPr>
            <w:tcW w:w="1665" w:type="dxa"/>
          </w:tcPr>
          <w:p w:rsidR="005C3678" w:rsidRPr="00DA5E33" w:rsidRDefault="005C3678" w:rsidP="005C3678">
            <w:pPr>
              <w:pStyle w:val="Prrafodelista"/>
              <w:ind w:left="0"/>
              <w:rPr>
                <w:rFonts w:cstheme="minorHAnsi"/>
                <w:bCs/>
                <w:sz w:val="20"/>
                <w:szCs w:val="20"/>
              </w:rPr>
            </w:pPr>
            <w:r w:rsidRPr="008F5250">
              <w:rPr>
                <w:rFonts w:eastAsia="Times New Roman" w:cstheme="minorHAnsi"/>
                <w:b/>
                <w:bCs/>
                <w:sz w:val="20"/>
                <w:szCs w:val="20"/>
                <w:lang w:eastAsia="es-CL"/>
              </w:rPr>
              <w:t>Factura</w:t>
            </w:r>
          </w:p>
        </w:tc>
        <w:tc>
          <w:tcPr>
            <w:tcW w:w="1669" w:type="dxa"/>
          </w:tcPr>
          <w:p w:rsidR="005C3678" w:rsidRPr="00DA5E33" w:rsidRDefault="005C3678" w:rsidP="005C3678">
            <w:pPr>
              <w:pStyle w:val="Prrafodelista"/>
              <w:ind w:left="0"/>
              <w:rPr>
                <w:rFonts w:cstheme="minorHAnsi"/>
                <w:bCs/>
                <w:sz w:val="20"/>
                <w:szCs w:val="20"/>
              </w:rPr>
            </w:pPr>
            <w:r w:rsidRPr="008F5250">
              <w:rPr>
                <w:rFonts w:eastAsia="Times New Roman" w:cstheme="minorHAnsi"/>
                <w:b/>
                <w:bCs/>
                <w:sz w:val="20"/>
                <w:szCs w:val="20"/>
                <w:lang w:eastAsia="es-CL"/>
              </w:rPr>
              <w:t>Orden Compra</w:t>
            </w:r>
          </w:p>
        </w:tc>
        <w:tc>
          <w:tcPr>
            <w:tcW w:w="1650" w:type="dxa"/>
          </w:tcPr>
          <w:p w:rsidR="005C3678" w:rsidRPr="00DA5E33" w:rsidRDefault="005C3678" w:rsidP="005C3678">
            <w:pPr>
              <w:pStyle w:val="Prrafodelista"/>
              <w:ind w:left="0"/>
              <w:rPr>
                <w:rFonts w:cstheme="minorHAnsi"/>
                <w:bCs/>
                <w:sz w:val="20"/>
                <w:szCs w:val="20"/>
              </w:rPr>
            </w:pPr>
            <w:r w:rsidRPr="008F5250">
              <w:rPr>
                <w:rFonts w:eastAsia="Times New Roman" w:cstheme="minorHAnsi"/>
                <w:b/>
                <w:bCs/>
                <w:sz w:val="20"/>
                <w:szCs w:val="20"/>
                <w:lang w:eastAsia="es-CL"/>
              </w:rPr>
              <w:t>Fecha</w:t>
            </w:r>
          </w:p>
        </w:tc>
        <w:tc>
          <w:tcPr>
            <w:tcW w:w="1657" w:type="dxa"/>
          </w:tcPr>
          <w:p w:rsidR="005C3678" w:rsidRPr="00DA5E33" w:rsidRDefault="005C3678" w:rsidP="005C3678">
            <w:pPr>
              <w:pStyle w:val="Prrafodelista"/>
              <w:ind w:left="0"/>
              <w:rPr>
                <w:rFonts w:cstheme="minorHAnsi"/>
                <w:bCs/>
                <w:sz w:val="20"/>
                <w:szCs w:val="20"/>
              </w:rPr>
            </w:pPr>
            <w:r w:rsidRPr="00DA5E33">
              <w:rPr>
                <w:rFonts w:eastAsia="Times New Roman" w:cstheme="minorHAnsi"/>
                <w:b/>
                <w:bCs/>
                <w:sz w:val="20"/>
                <w:szCs w:val="20"/>
                <w:lang w:eastAsia="es-CL"/>
              </w:rPr>
              <w:t>Balón gas</w:t>
            </w:r>
            <w:r w:rsidRPr="008F5250">
              <w:rPr>
                <w:rFonts w:eastAsia="Times New Roman" w:cstheme="minorHAnsi"/>
                <w:b/>
                <w:bCs/>
                <w:sz w:val="20"/>
                <w:szCs w:val="20"/>
                <w:lang w:eastAsia="es-CL"/>
              </w:rPr>
              <w:t xml:space="preserve"> 11 Kg</w:t>
            </w:r>
          </w:p>
        </w:tc>
      </w:tr>
      <w:tr w:rsidR="005C3678" w:rsidRPr="00DA5E33" w:rsidTr="005C3678">
        <w:tc>
          <w:tcPr>
            <w:tcW w:w="1693" w:type="dxa"/>
          </w:tcPr>
          <w:p w:rsidR="005C3678" w:rsidRPr="00DA5E33" w:rsidRDefault="005C3678" w:rsidP="005C3678">
            <w:pPr>
              <w:rPr>
                <w:rFonts w:cstheme="minorHAnsi"/>
              </w:rPr>
            </w:pPr>
            <w:r w:rsidRPr="008F5250">
              <w:rPr>
                <w:rFonts w:eastAsia="Times New Roman" w:cstheme="minorHAnsi"/>
                <w:sz w:val="20"/>
                <w:szCs w:val="20"/>
                <w:lang w:eastAsia="es-CL"/>
              </w:rPr>
              <w:t>Abastible</w:t>
            </w:r>
          </w:p>
        </w:tc>
        <w:tc>
          <w:tcPr>
            <w:tcW w:w="1665"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8294240</w:t>
            </w:r>
          </w:p>
        </w:tc>
        <w:tc>
          <w:tcPr>
            <w:tcW w:w="1669" w:type="dxa"/>
            <w:vAlign w:val="bottom"/>
          </w:tcPr>
          <w:p w:rsidR="005C3678" w:rsidRPr="008F5250" w:rsidRDefault="005C3678" w:rsidP="005C3678">
            <w:pPr>
              <w:jc w:val="center"/>
              <w:rPr>
                <w:rFonts w:eastAsia="Times New Roman" w:cstheme="minorHAnsi"/>
                <w:sz w:val="20"/>
                <w:szCs w:val="20"/>
                <w:lang w:eastAsia="es-CL"/>
              </w:rPr>
            </w:pPr>
            <w:r w:rsidRPr="008F5250">
              <w:rPr>
                <w:rFonts w:eastAsia="Times New Roman" w:cstheme="minorHAnsi"/>
                <w:sz w:val="20"/>
                <w:szCs w:val="20"/>
                <w:lang w:eastAsia="es-CL"/>
              </w:rPr>
              <w:t>7332</w:t>
            </w:r>
          </w:p>
        </w:tc>
        <w:tc>
          <w:tcPr>
            <w:tcW w:w="1650"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22-06-2015</w:t>
            </w:r>
          </w:p>
        </w:tc>
        <w:tc>
          <w:tcPr>
            <w:tcW w:w="1657" w:type="dxa"/>
            <w:vAlign w:val="bottom"/>
          </w:tcPr>
          <w:p w:rsidR="005C3678" w:rsidRPr="008F5250" w:rsidRDefault="005C3678" w:rsidP="005C3678">
            <w:pPr>
              <w:jc w:val="center"/>
              <w:rPr>
                <w:rFonts w:eastAsia="Times New Roman" w:cstheme="minorHAnsi"/>
                <w:b/>
                <w:bCs/>
                <w:sz w:val="20"/>
                <w:szCs w:val="20"/>
                <w:lang w:eastAsia="es-CL"/>
              </w:rPr>
            </w:pPr>
            <w:r w:rsidRPr="008F5250">
              <w:rPr>
                <w:rFonts w:eastAsia="Times New Roman" w:cstheme="minorHAnsi"/>
                <w:b/>
                <w:bCs/>
                <w:sz w:val="20"/>
                <w:szCs w:val="20"/>
                <w:lang w:eastAsia="es-CL"/>
              </w:rPr>
              <w:t>400</w:t>
            </w:r>
          </w:p>
        </w:tc>
      </w:tr>
      <w:tr w:rsidR="005C3678" w:rsidRPr="00DA5E33" w:rsidTr="005C3678">
        <w:tc>
          <w:tcPr>
            <w:tcW w:w="1693" w:type="dxa"/>
          </w:tcPr>
          <w:p w:rsidR="005C3678" w:rsidRPr="00DA5E33" w:rsidRDefault="005C3678" w:rsidP="005C3678">
            <w:pPr>
              <w:rPr>
                <w:rFonts w:cstheme="minorHAnsi"/>
              </w:rPr>
            </w:pPr>
            <w:r w:rsidRPr="008F5250">
              <w:rPr>
                <w:rFonts w:eastAsia="Times New Roman" w:cstheme="minorHAnsi"/>
                <w:sz w:val="20"/>
                <w:szCs w:val="20"/>
                <w:lang w:eastAsia="es-CL"/>
              </w:rPr>
              <w:t>Abastible</w:t>
            </w:r>
          </w:p>
        </w:tc>
        <w:tc>
          <w:tcPr>
            <w:tcW w:w="1665"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8550258</w:t>
            </w:r>
          </w:p>
        </w:tc>
        <w:tc>
          <w:tcPr>
            <w:tcW w:w="1669" w:type="dxa"/>
            <w:vAlign w:val="bottom"/>
          </w:tcPr>
          <w:p w:rsidR="005C3678" w:rsidRPr="008F5250" w:rsidRDefault="005C3678" w:rsidP="005C3678">
            <w:pPr>
              <w:jc w:val="center"/>
              <w:rPr>
                <w:rFonts w:eastAsia="Times New Roman" w:cstheme="minorHAnsi"/>
                <w:sz w:val="20"/>
                <w:szCs w:val="20"/>
                <w:lang w:eastAsia="es-CL"/>
              </w:rPr>
            </w:pPr>
            <w:r w:rsidRPr="008F5250">
              <w:rPr>
                <w:rFonts w:eastAsia="Times New Roman" w:cstheme="minorHAnsi"/>
                <w:sz w:val="20"/>
                <w:szCs w:val="20"/>
                <w:lang w:eastAsia="es-CL"/>
              </w:rPr>
              <w:t>9160</w:t>
            </w:r>
          </w:p>
        </w:tc>
        <w:tc>
          <w:tcPr>
            <w:tcW w:w="1650"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10-05-2016</w:t>
            </w:r>
          </w:p>
        </w:tc>
        <w:tc>
          <w:tcPr>
            <w:tcW w:w="1657" w:type="dxa"/>
            <w:vAlign w:val="bottom"/>
          </w:tcPr>
          <w:p w:rsidR="005C3678" w:rsidRPr="008F5250" w:rsidRDefault="005C3678" w:rsidP="005C3678">
            <w:pPr>
              <w:jc w:val="center"/>
              <w:rPr>
                <w:rFonts w:eastAsia="Times New Roman" w:cstheme="minorHAnsi"/>
                <w:b/>
                <w:bCs/>
                <w:sz w:val="20"/>
                <w:szCs w:val="20"/>
                <w:lang w:eastAsia="es-CL"/>
              </w:rPr>
            </w:pPr>
            <w:r w:rsidRPr="008F5250">
              <w:rPr>
                <w:rFonts w:eastAsia="Times New Roman" w:cstheme="minorHAnsi"/>
                <w:b/>
                <w:bCs/>
                <w:sz w:val="20"/>
                <w:szCs w:val="20"/>
                <w:lang w:eastAsia="es-CL"/>
              </w:rPr>
              <w:t>400</w:t>
            </w:r>
          </w:p>
        </w:tc>
      </w:tr>
      <w:tr w:rsidR="005C3678" w:rsidRPr="00DA5E33" w:rsidTr="005C3678">
        <w:tc>
          <w:tcPr>
            <w:tcW w:w="1693" w:type="dxa"/>
          </w:tcPr>
          <w:p w:rsidR="005C3678" w:rsidRPr="00DA5E33" w:rsidRDefault="005C3678" w:rsidP="005C3678">
            <w:pPr>
              <w:rPr>
                <w:rFonts w:cstheme="minorHAnsi"/>
              </w:rPr>
            </w:pPr>
            <w:r w:rsidRPr="008F5250">
              <w:rPr>
                <w:rFonts w:eastAsia="Times New Roman" w:cstheme="minorHAnsi"/>
                <w:sz w:val="20"/>
                <w:szCs w:val="20"/>
                <w:lang w:eastAsia="es-CL"/>
              </w:rPr>
              <w:t>Abastible</w:t>
            </w:r>
          </w:p>
        </w:tc>
        <w:tc>
          <w:tcPr>
            <w:tcW w:w="1665"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8956400</w:t>
            </w:r>
          </w:p>
        </w:tc>
        <w:tc>
          <w:tcPr>
            <w:tcW w:w="1669" w:type="dxa"/>
            <w:vAlign w:val="bottom"/>
          </w:tcPr>
          <w:p w:rsidR="005C3678" w:rsidRPr="008F5250" w:rsidRDefault="005C3678" w:rsidP="005C3678">
            <w:pPr>
              <w:jc w:val="center"/>
              <w:rPr>
                <w:rFonts w:eastAsia="Times New Roman" w:cstheme="minorHAnsi"/>
                <w:sz w:val="20"/>
                <w:szCs w:val="20"/>
                <w:lang w:eastAsia="es-CL"/>
              </w:rPr>
            </w:pPr>
            <w:r w:rsidRPr="008F5250">
              <w:rPr>
                <w:rFonts w:eastAsia="Times New Roman" w:cstheme="minorHAnsi"/>
                <w:sz w:val="20"/>
                <w:szCs w:val="20"/>
                <w:lang w:eastAsia="es-CL"/>
              </w:rPr>
              <w:t>10234</w:t>
            </w:r>
          </w:p>
        </w:tc>
        <w:tc>
          <w:tcPr>
            <w:tcW w:w="1650"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07-09-2016</w:t>
            </w:r>
          </w:p>
        </w:tc>
        <w:tc>
          <w:tcPr>
            <w:tcW w:w="1657" w:type="dxa"/>
            <w:vAlign w:val="bottom"/>
          </w:tcPr>
          <w:p w:rsidR="005C3678" w:rsidRPr="008F5250" w:rsidRDefault="005C3678" w:rsidP="005C3678">
            <w:pPr>
              <w:jc w:val="center"/>
              <w:rPr>
                <w:rFonts w:eastAsia="Times New Roman" w:cstheme="minorHAnsi"/>
                <w:b/>
                <w:bCs/>
                <w:sz w:val="20"/>
                <w:szCs w:val="20"/>
                <w:lang w:eastAsia="es-CL"/>
              </w:rPr>
            </w:pPr>
            <w:r w:rsidRPr="008F5250">
              <w:rPr>
                <w:rFonts w:eastAsia="Times New Roman" w:cstheme="minorHAnsi"/>
                <w:b/>
                <w:bCs/>
                <w:sz w:val="20"/>
                <w:szCs w:val="20"/>
                <w:lang w:eastAsia="es-CL"/>
              </w:rPr>
              <w:t>200</w:t>
            </w:r>
          </w:p>
        </w:tc>
      </w:tr>
      <w:tr w:rsidR="005C3678" w:rsidRPr="00DA5E33" w:rsidTr="005C3678">
        <w:tc>
          <w:tcPr>
            <w:tcW w:w="6677" w:type="dxa"/>
            <w:gridSpan w:val="4"/>
          </w:tcPr>
          <w:p w:rsidR="005C3678" w:rsidRPr="008F5250" w:rsidRDefault="005C3678" w:rsidP="005C3678">
            <w:pPr>
              <w:jc w:val="center"/>
              <w:rPr>
                <w:rFonts w:eastAsia="Times New Roman" w:cstheme="minorHAnsi"/>
                <w:sz w:val="20"/>
                <w:szCs w:val="20"/>
                <w:lang w:eastAsia="es-CL"/>
              </w:rPr>
            </w:pPr>
            <w:r>
              <w:rPr>
                <w:rFonts w:eastAsia="Times New Roman" w:cstheme="minorHAnsi"/>
                <w:sz w:val="20"/>
                <w:szCs w:val="20"/>
                <w:lang w:eastAsia="es-CL"/>
              </w:rPr>
              <w:t>Total</w:t>
            </w:r>
          </w:p>
        </w:tc>
        <w:tc>
          <w:tcPr>
            <w:tcW w:w="1657" w:type="dxa"/>
            <w:vAlign w:val="bottom"/>
          </w:tcPr>
          <w:p w:rsidR="005C3678" w:rsidRPr="008F5250" w:rsidRDefault="005C3678" w:rsidP="005C3678">
            <w:pPr>
              <w:jc w:val="center"/>
              <w:rPr>
                <w:rFonts w:eastAsia="Times New Roman" w:cstheme="minorHAnsi"/>
                <w:b/>
                <w:bCs/>
                <w:sz w:val="20"/>
                <w:szCs w:val="20"/>
                <w:lang w:eastAsia="es-CL"/>
              </w:rPr>
            </w:pPr>
            <w:r>
              <w:rPr>
                <w:rFonts w:eastAsia="Times New Roman" w:cstheme="minorHAnsi"/>
                <w:b/>
                <w:bCs/>
                <w:sz w:val="20"/>
                <w:szCs w:val="20"/>
                <w:lang w:eastAsia="es-CL"/>
              </w:rPr>
              <w:t>1.000</w:t>
            </w:r>
          </w:p>
        </w:tc>
      </w:tr>
    </w:tbl>
    <w:p w:rsidR="005C3678" w:rsidRPr="00EC0027" w:rsidRDefault="005C3678" w:rsidP="005C3678">
      <w:pPr>
        <w:rPr>
          <w:bCs/>
        </w:rPr>
      </w:pPr>
    </w:p>
    <w:p w:rsidR="005C3678" w:rsidRDefault="005C3678" w:rsidP="005C3678">
      <w:pPr>
        <w:pStyle w:val="Prrafodelista"/>
        <w:rPr>
          <w:bCs/>
        </w:rPr>
      </w:pPr>
    </w:p>
    <w:p w:rsidR="005C3678" w:rsidRPr="005B1A7F" w:rsidRDefault="005C3678" w:rsidP="005C3678">
      <w:pPr>
        <w:pStyle w:val="Prrafodelista"/>
        <w:jc w:val="center"/>
        <w:rPr>
          <w:bCs/>
        </w:rPr>
      </w:pPr>
      <w:r>
        <w:rPr>
          <w:bCs/>
        </w:rPr>
        <w:t>Tabla N° 1  (A</w:t>
      </w:r>
      <w:r w:rsidRPr="005B1A7F">
        <w:rPr>
          <w:bCs/>
        </w:rPr>
        <w:t>nexo 6.1</w:t>
      </w:r>
      <w:r>
        <w:rPr>
          <w:bCs/>
        </w:rPr>
        <w:t xml:space="preserve"> gas licuado</w:t>
      </w:r>
      <w:r w:rsidRPr="005B1A7F">
        <w:rPr>
          <w:bCs/>
        </w:rPr>
        <w:t>)</w:t>
      </w:r>
    </w:p>
    <w:p w:rsidR="005C3678" w:rsidRPr="005B1A7F" w:rsidRDefault="005C3678" w:rsidP="005C3678">
      <w:pPr>
        <w:pStyle w:val="Prrafodelista"/>
        <w:jc w:val="center"/>
        <w:rPr>
          <w:bCs/>
        </w:rPr>
      </w:pPr>
      <w:r w:rsidRPr="005B1A7F">
        <w:rPr>
          <w:bCs/>
        </w:rPr>
        <w:t>Consumo gas licuado años 2015 y 2016</w:t>
      </w:r>
    </w:p>
    <w:p w:rsidR="005C3678" w:rsidRDefault="005C3678" w:rsidP="005C3678">
      <w:pPr>
        <w:pStyle w:val="Prrafodelista"/>
        <w:rPr>
          <w:bCs/>
        </w:rPr>
      </w:pPr>
    </w:p>
    <w:tbl>
      <w:tblPr>
        <w:tblStyle w:val="Tablaconcuadrcula"/>
        <w:tblW w:w="0" w:type="auto"/>
        <w:tblInd w:w="720" w:type="dxa"/>
        <w:tblLook w:val="04A0" w:firstRow="1" w:lastRow="0" w:firstColumn="1" w:lastColumn="0" w:noHBand="0" w:noVBand="1"/>
      </w:tblPr>
      <w:tblGrid>
        <w:gridCol w:w="2763"/>
        <w:gridCol w:w="2778"/>
        <w:gridCol w:w="2793"/>
      </w:tblGrid>
      <w:tr w:rsidR="005C3678" w:rsidTr="005C3678">
        <w:tc>
          <w:tcPr>
            <w:tcW w:w="2763" w:type="dxa"/>
            <w:vMerge w:val="restart"/>
          </w:tcPr>
          <w:p w:rsidR="005C3678" w:rsidRDefault="005C3678" w:rsidP="005C3678">
            <w:pPr>
              <w:pStyle w:val="Prrafodelista"/>
              <w:ind w:left="0"/>
              <w:rPr>
                <w:bCs/>
              </w:rPr>
            </w:pPr>
            <w:r w:rsidRPr="00DA5E33">
              <w:rPr>
                <w:rFonts w:ascii="Arial" w:eastAsia="Times New Roman" w:hAnsi="Arial" w:cs="Arial"/>
                <w:b/>
                <w:bCs/>
                <w:sz w:val="20"/>
                <w:szCs w:val="20"/>
                <w:lang w:eastAsia="es-CL"/>
              </w:rPr>
              <w:t xml:space="preserve">Consumo </w:t>
            </w:r>
            <w:r>
              <w:rPr>
                <w:rFonts w:ascii="Arial" w:eastAsia="Times New Roman" w:hAnsi="Arial" w:cs="Arial"/>
                <w:b/>
                <w:bCs/>
                <w:sz w:val="20"/>
                <w:szCs w:val="20"/>
                <w:lang w:eastAsia="es-CL"/>
              </w:rPr>
              <w:t>balones de</w:t>
            </w:r>
            <w:r w:rsidRPr="00DA5E33">
              <w:rPr>
                <w:rFonts w:ascii="Arial" w:eastAsia="Times New Roman" w:hAnsi="Arial" w:cs="Arial"/>
                <w:b/>
                <w:bCs/>
                <w:sz w:val="20"/>
                <w:szCs w:val="20"/>
                <w:lang w:eastAsia="es-CL"/>
              </w:rPr>
              <w:t xml:space="preserve"> Gas 11 kg</w:t>
            </w:r>
          </w:p>
        </w:tc>
        <w:tc>
          <w:tcPr>
            <w:tcW w:w="2778" w:type="dxa"/>
          </w:tcPr>
          <w:p w:rsidR="005C3678" w:rsidRDefault="005C3678" w:rsidP="005C3678">
            <w:pPr>
              <w:pStyle w:val="Prrafodelista"/>
              <w:ind w:left="0"/>
              <w:jc w:val="center"/>
              <w:rPr>
                <w:bCs/>
              </w:rPr>
            </w:pPr>
            <w:r w:rsidRPr="00DA5E33">
              <w:rPr>
                <w:rFonts w:ascii="Arial" w:eastAsia="Times New Roman" w:hAnsi="Arial" w:cs="Arial"/>
                <w:b/>
                <w:bCs/>
                <w:sz w:val="20"/>
                <w:szCs w:val="20"/>
                <w:lang w:eastAsia="es-CL"/>
              </w:rPr>
              <w:t>Año 2015 (Enero-Diciembre)</w:t>
            </w:r>
          </w:p>
        </w:tc>
        <w:tc>
          <w:tcPr>
            <w:tcW w:w="2793" w:type="dxa"/>
          </w:tcPr>
          <w:p w:rsidR="005C3678" w:rsidRDefault="005C3678" w:rsidP="005C3678">
            <w:pPr>
              <w:pStyle w:val="Prrafodelista"/>
              <w:ind w:left="0"/>
              <w:jc w:val="center"/>
              <w:rPr>
                <w:bCs/>
              </w:rPr>
            </w:pPr>
            <w:r w:rsidRPr="00DA5E33">
              <w:rPr>
                <w:rFonts w:ascii="Arial" w:eastAsia="Times New Roman" w:hAnsi="Arial" w:cs="Arial"/>
                <w:b/>
                <w:bCs/>
                <w:sz w:val="20"/>
                <w:szCs w:val="20"/>
                <w:lang w:eastAsia="es-CL"/>
              </w:rPr>
              <w:t>Año 2016 (Enero al 26-Septiembre-2016</w:t>
            </w:r>
          </w:p>
        </w:tc>
      </w:tr>
      <w:tr w:rsidR="005C3678" w:rsidTr="005C3678">
        <w:tc>
          <w:tcPr>
            <w:tcW w:w="2763" w:type="dxa"/>
            <w:vMerge/>
          </w:tcPr>
          <w:p w:rsidR="005C3678" w:rsidRDefault="005C3678" w:rsidP="005C3678">
            <w:pPr>
              <w:pStyle w:val="Prrafodelista"/>
              <w:ind w:left="0"/>
              <w:rPr>
                <w:bCs/>
              </w:rPr>
            </w:pPr>
          </w:p>
        </w:tc>
        <w:tc>
          <w:tcPr>
            <w:tcW w:w="2778" w:type="dxa"/>
          </w:tcPr>
          <w:p w:rsidR="005C3678" w:rsidRDefault="005C3678" w:rsidP="005C3678">
            <w:pPr>
              <w:pStyle w:val="Prrafodelista"/>
              <w:ind w:left="0"/>
              <w:jc w:val="center"/>
              <w:rPr>
                <w:bCs/>
              </w:rPr>
            </w:pPr>
            <w:r w:rsidRPr="00DA5E33">
              <w:rPr>
                <w:rFonts w:ascii="Arial" w:eastAsia="Times New Roman" w:hAnsi="Arial" w:cs="Arial"/>
                <w:sz w:val="20"/>
                <w:szCs w:val="20"/>
                <w:lang w:eastAsia="es-CL"/>
              </w:rPr>
              <w:t>486</w:t>
            </w:r>
          </w:p>
        </w:tc>
        <w:tc>
          <w:tcPr>
            <w:tcW w:w="2793" w:type="dxa"/>
          </w:tcPr>
          <w:p w:rsidR="005C3678" w:rsidRDefault="005C3678" w:rsidP="005C3678">
            <w:pPr>
              <w:pStyle w:val="Prrafodelista"/>
              <w:ind w:left="0"/>
              <w:jc w:val="center"/>
              <w:rPr>
                <w:bCs/>
              </w:rPr>
            </w:pPr>
            <w:r w:rsidRPr="00DA5E33">
              <w:rPr>
                <w:rFonts w:ascii="Arial" w:eastAsia="Times New Roman" w:hAnsi="Arial" w:cs="Arial"/>
                <w:sz w:val="20"/>
                <w:szCs w:val="20"/>
                <w:lang w:eastAsia="es-CL"/>
              </w:rPr>
              <w:t>495</w:t>
            </w:r>
          </w:p>
        </w:tc>
      </w:tr>
    </w:tbl>
    <w:p w:rsidR="005C3678" w:rsidRDefault="005C3678" w:rsidP="005C3678">
      <w:pPr>
        <w:pStyle w:val="Prrafodelista"/>
        <w:rPr>
          <w:bCs/>
        </w:rPr>
      </w:pPr>
    </w:p>
    <w:p w:rsidR="005C3678" w:rsidRPr="008A7DE9" w:rsidRDefault="005C3678" w:rsidP="005C3678">
      <w:pPr>
        <w:pStyle w:val="Prrafodelista"/>
        <w:rPr>
          <w:bCs/>
        </w:rPr>
      </w:pPr>
      <w:r w:rsidRPr="008A7DE9">
        <w:rPr>
          <w:bCs/>
        </w:rPr>
        <w:t>Entendiendo que la relación es de 1,92 litros por Kg de gas</w:t>
      </w:r>
      <w:r w:rsidRPr="008A7DE9">
        <w:rPr>
          <w:rStyle w:val="Refdenotaalpie"/>
          <w:bCs/>
        </w:rPr>
        <w:footnoteReference w:id="4"/>
      </w:r>
      <w:r>
        <w:rPr>
          <w:bCs/>
        </w:rPr>
        <w:t xml:space="preserve">, cada balón equivale a 21,12 litros.  Por lo anterior, el </w:t>
      </w:r>
      <w:r w:rsidRPr="008A7DE9">
        <w:rPr>
          <w:b/>
          <w:bCs/>
        </w:rPr>
        <w:t>consumo del año 2015 fue de 10.</w:t>
      </w:r>
      <w:r>
        <w:rPr>
          <w:b/>
          <w:bCs/>
        </w:rPr>
        <w:t>204,32</w:t>
      </w:r>
      <w:r w:rsidRPr="008A7DE9">
        <w:rPr>
          <w:b/>
          <w:bCs/>
        </w:rPr>
        <w:t xml:space="preserve"> lt. o 10,</w:t>
      </w:r>
      <w:r>
        <w:rPr>
          <w:b/>
          <w:bCs/>
        </w:rPr>
        <w:t xml:space="preserve">3 </w:t>
      </w:r>
      <w:r w:rsidRPr="008A7DE9">
        <w:rPr>
          <w:b/>
          <w:bCs/>
        </w:rPr>
        <w:t>m</w:t>
      </w:r>
      <w:r w:rsidRPr="008A7DE9">
        <w:rPr>
          <w:b/>
          <w:bCs/>
          <w:vertAlign w:val="superscript"/>
        </w:rPr>
        <w:t>3</w:t>
      </w:r>
      <w:r>
        <w:rPr>
          <w:bCs/>
        </w:rPr>
        <w:t xml:space="preserve">, </w:t>
      </w:r>
      <w:r>
        <w:rPr>
          <w:b/>
          <w:bCs/>
        </w:rPr>
        <w:t xml:space="preserve">mientras que para el 2016 (hasta septiembre) fue de 10.454,4 lt o 10,45 </w:t>
      </w:r>
      <w:r w:rsidRPr="008A7DE9">
        <w:rPr>
          <w:b/>
          <w:bCs/>
        </w:rPr>
        <w:t>m</w:t>
      </w:r>
      <w:r w:rsidRPr="008A7DE9">
        <w:rPr>
          <w:b/>
          <w:bCs/>
          <w:vertAlign w:val="superscript"/>
        </w:rPr>
        <w:t>3</w:t>
      </w:r>
      <w:r>
        <w:rPr>
          <w:b/>
          <w:bCs/>
        </w:rPr>
        <w:t xml:space="preserve"> </w:t>
      </w:r>
      <w:r>
        <w:rPr>
          <w:bCs/>
        </w:rPr>
        <w:t xml:space="preserve">  </w:t>
      </w:r>
      <w:r w:rsidRPr="008A7DE9">
        <w:rPr>
          <w:bCs/>
        </w:rPr>
        <w:t> </w:t>
      </w:r>
    </w:p>
    <w:p w:rsidR="005C3678" w:rsidRDefault="005C3678" w:rsidP="005C3678">
      <w:pPr>
        <w:pStyle w:val="Prrafodelista"/>
        <w:rPr>
          <w:bCs/>
        </w:rPr>
      </w:pPr>
    </w:p>
    <w:p w:rsidR="005C3678" w:rsidRDefault="005C3678" w:rsidP="005C3678">
      <w:pPr>
        <w:pStyle w:val="Prrafodelista"/>
        <w:jc w:val="center"/>
        <w:rPr>
          <w:bCs/>
        </w:rPr>
      </w:pPr>
      <w:r>
        <w:rPr>
          <w:bCs/>
        </w:rPr>
        <w:t>Resumen consumo y Co2 eq años 2015, 2016</w:t>
      </w:r>
    </w:p>
    <w:p w:rsidR="005C3678" w:rsidRDefault="005C3678" w:rsidP="005C3678">
      <w:pPr>
        <w:pStyle w:val="Prrafodelista"/>
        <w:jc w:val="center"/>
        <w:rPr>
          <w:bCs/>
        </w:rPr>
      </w:pPr>
    </w:p>
    <w:tbl>
      <w:tblPr>
        <w:tblStyle w:val="Tablaconcuadrcula"/>
        <w:tblW w:w="0" w:type="auto"/>
        <w:tblInd w:w="720" w:type="dxa"/>
        <w:tblLook w:val="04A0" w:firstRow="1" w:lastRow="0" w:firstColumn="1" w:lastColumn="0" w:noHBand="0" w:noVBand="1"/>
      </w:tblPr>
      <w:tblGrid>
        <w:gridCol w:w="2757"/>
        <w:gridCol w:w="2738"/>
        <w:gridCol w:w="2839"/>
      </w:tblGrid>
      <w:tr w:rsidR="005C3678" w:rsidRPr="00CA180D" w:rsidTr="005C3678">
        <w:tc>
          <w:tcPr>
            <w:tcW w:w="2757" w:type="dxa"/>
            <w:tcBorders>
              <w:top w:val="nil"/>
              <w:left w:val="nil"/>
              <w:bottom w:val="single" w:sz="4" w:space="0" w:color="auto"/>
              <w:right w:val="single" w:sz="4" w:space="0" w:color="auto"/>
            </w:tcBorders>
          </w:tcPr>
          <w:p w:rsidR="005C3678" w:rsidRPr="00CA180D" w:rsidRDefault="005C3678" w:rsidP="005C3678">
            <w:pPr>
              <w:pStyle w:val="Prrafodelista"/>
              <w:ind w:left="0"/>
              <w:jc w:val="center"/>
              <w:rPr>
                <w:rFonts w:cstheme="minorHAnsi"/>
                <w:bCs/>
                <w:sz w:val="18"/>
                <w:szCs w:val="18"/>
              </w:rPr>
            </w:pPr>
          </w:p>
        </w:tc>
        <w:tc>
          <w:tcPr>
            <w:tcW w:w="2738" w:type="dxa"/>
            <w:tcBorders>
              <w:left w:val="single" w:sz="4" w:space="0" w:color="auto"/>
            </w:tcBorders>
          </w:tcPr>
          <w:p w:rsidR="005C3678" w:rsidRDefault="005C3678" w:rsidP="005C3678">
            <w:pPr>
              <w:pStyle w:val="Prrafodelista"/>
              <w:ind w:left="0"/>
              <w:jc w:val="center"/>
              <w:rPr>
                <w:rFonts w:eastAsia="Times New Roman" w:cstheme="minorHAnsi"/>
                <w:b/>
                <w:bCs/>
                <w:sz w:val="18"/>
                <w:szCs w:val="18"/>
                <w:lang w:eastAsia="es-CL"/>
              </w:rPr>
            </w:pPr>
            <w:r w:rsidRPr="00DA5E33">
              <w:rPr>
                <w:rFonts w:eastAsia="Times New Roman" w:cstheme="minorHAnsi"/>
                <w:b/>
                <w:bCs/>
                <w:sz w:val="18"/>
                <w:szCs w:val="18"/>
                <w:lang w:eastAsia="es-CL"/>
              </w:rPr>
              <w:t xml:space="preserve">Año 2015 </w:t>
            </w:r>
          </w:p>
          <w:p w:rsidR="005C3678" w:rsidRPr="00CA180D" w:rsidRDefault="005C3678" w:rsidP="005C3678">
            <w:pPr>
              <w:pStyle w:val="Prrafodelista"/>
              <w:ind w:left="0"/>
              <w:jc w:val="center"/>
              <w:rPr>
                <w:rFonts w:cstheme="minorHAnsi"/>
                <w:bCs/>
                <w:sz w:val="18"/>
                <w:szCs w:val="18"/>
              </w:rPr>
            </w:pPr>
            <w:r w:rsidRPr="00DA5E33">
              <w:rPr>
                <w:rFonts w:eastAsia="Times New Roman" w:cstheme="minorHAnsi"/>
                <w:b/>
                <w:bCs/>
                <w:sz w:val="18"/>
                <w:szCs w:val="18"/>
                <w:lang w:eastAsia="es-CL"/>
              </w:rPr>
              <w:t>(Ene</w:t>
            </w:r>
            <w:r>
              <w:rPr>
                <w:rFonts w:eastAsia="Times New Roman" w:cstheme="minorHAnsi"/>
                <w:b/>
                <w:bCs/>
                <w:sz w:val="18"/>
                <w:szCs w:val="18"/>
                <w:lang w:eastAsia="es-CL"/>
              </w:rPr>
              <w:t xml:space="preserve"> – </w:t>
            </w:r>
            <w:r w:rsidRPr="00DA5E33">
              <w:rPr>
                <w:rFonts w:eastAsia="Times New Roman" w:cstheme="minorHAnsi"/>
                <w:b/>
                <w:bCs/>
                <w:sz w:val="18"/>
                <w:szCs w:val="18"/>
                <w:lang w:eastAsia="es-CL"/>
              </w:rPr>
              <w:t>Dic</w:t>
            </w:r>
            <w:r>
              <w:rPr>
                <w:rFonts w:eastAsia="Times New Roman" w:cstheme="minorHAnsi"/>
                <w:b/>
                <w:bCs/>
                <w:sz w:val="18"/>
                <w:szCs w:val="18"/>
                <w:lang w:eastAsia="es-CL"/>
              </w:rPr>
              <w:t>)</w:t>
            </w:r>
          </w:p>
        </w:tc>
        <w:tc>
          <w:tcPr>
            <w:tcW w:w="2839" w:type="dxa"/>
          </w:tcPr>
          <w:p w:rsidR="005C3678" w:rsidRDefault="005C3678" w:rsidP="005C3678">
            <w:pPr>
              <w:pStyle w:val="Prrafodelista"/>
              <w:ind w:left="0"/>
              <w:jc w:val="center"/>
              <w:rPr>
                <w:rFonts w:eastAsia="Times New Roman" w:cstheme="minorHAnsi"/>
                <w:b/>
                <w:bCs/>
                <w:sz w:val="18"/>
                <w:szCs w:val="18"/>
                <w:lang w:eastAsia="es-CL"/>
              </w:rPr>
            </w:pPr>
            <w:r w:rsidRPr="00DA5E33">
              <w:rPr>
                <w:rFonts w:eastAsia="Times New Roman" w:cstheme="minorHAnsi"/>
                <w:b/>
                <w:bCs/>
                <w:sz w:val="18"/>
                <w:szCs w:val="18"/>
                <w:lang w:eastAsia="es-CL"/>
              </w:rPr>
              <w:t>Año 2016</w:t>
            </w:r>
          </w:p>
          <w:p w:rsidR="005C3678" w:rsidRPr="00CA180D" w:rsidRDefault="005C3678" w:rsidP="005C3678">
            <w:pPr>
              <w:pStyle w:val="Prrafodelista"/>
              <w:ind w:left="0"/>
              <w:jc w:val="center"/>
              <w:rPr>
                <w:rFonts w:cstheme="minorHAnsi"/>
                <w:bCs/>
                <w:sz w:val="18"/>
                <w:szCs w:val="18"/>
              </w:rPr>
            </w:pPr>
            <w:r w:rsidRPr="00DA5E33">
              <w:rPr>
                <w:rFonts w:eastAsia="Times New Roman" w:cstheme="minorHAnsi"/>
                <w:b/>
                <w:bCs/>
                <w:sz w:val="18"/>
                <w:szCs w:val="18"/>
                <w:lang w:eastAsia="es-CL"/>
              </w:rPr>
              <w:t>(Ene</w:t>
            </w:r>
            <w:r>
              <w:rPr>
                <w:rFonts w:eastAsia="Times New Roman" w:cstheme="minorHAnsi"/>
                <w:b/>
                <w:bCs/>
                <w:sz w:val="18"/>
                <w:szCs w:val="18"/>
                <w:lang w:eastAsia="es-CL"/>
              </w:rPr>
              <w:t xml:space="preserve"> - </w:t>
            </w:r>
            <w:r w:rsidRPr="00DA5E33">
              <w:rPr>
                <w:rFonts w:eastAsia="Times New Roman" w:cstheme="minorHAnsi"/>
                <w:b/>
                <w:bCs/>
                <w:sz w:val="18"/>
                <w:szCs w:val="18"/>
                <w:lang w:eastAsia="es-CL"/>
              </w:rPr>
              <w:t>26-Septiembre</w:t>
            </w:r>
            <w:r>
              <w:rPr>
                <w:rFonts w:eastAsia="Times New Roman" w:cstheme="minorHAnsi"/>
                <w:b/>
                <w:bCs/>
                <w:sz w:val="18"/>
                <w:szCs w:val="18"/>
                <w:lang w:eastAsia="es-CL"/>
              </w:rPr>
              <w:t>,</w:t>
            </w:r>
            <w:r w:rsidRPr="00DA5E33">
              <w:rPr>
                <w:rFonts w:eastAsia="Times New Roman" w:cstheme="minorHAnsi"/>
                <w:b/>
                <w:bCs/>
                <w:sz w:val="18"/>
                <w:szCs w:val="18"/>
                <w:lang w:eastAsia="es-CL"/>
              </w:rPr>
              <w:t>2016</w:t>
            </w:r>
            <w:r>
              <w:rPr>
                <w:rFonts w:eastAsia="Times New Roman" w:cstheme="minorHAnsi"/>
                <w:b/>
                <w:bCs/>
                <w:sz w:val="18"/>
                <w:szCs w:val="18"/>
                <w:lang w:eastAsia="es-CL"/>
              </w:rPr>
              <w:t>)</w:t>
            </w:r>
          </w:p>
        </w:tc>
      </w:tr>
      <w:tr w:rsidR="005C3678" w:rsidRPr="005B1A7F" w:rsidTr="005C3678">
        <w:tc>
          <w:tcPr>
            <w:tcW w:w="2757" w:type="dxa"/>
            <w:tcBorders>
              <w:top w:val="single" w:sz="4" w:space="0" w:color="auto"/>
            </w:tcBorders>
          </w:tcPr>
          <w:p w:rsidR="005C3678" w:rsidRPr="005B1A7F" w:rsidRDefault="005C3678" w:rsidP="005C3678">
            <w:pPr>
              <w:pStyle w:val="Prrafodelista"/>
              <w:ind w:left="0"/>
              <w:rPr>
                <w:rFonts w:cstheme="minorHAnsi"/>
                <w:bCs/>
                <w:sz w:val="20"/>
                <w:szCs w:val="20"/>
              </w:rPr>
            </w:pPr>
            <w:r w:rsidRPr="005B1A7F">
              <w:rPr>
                <w:rFonts w:eastAsia="Times New Roman" w:cstheme="minorHAnsi"/>
                <w:bCs/>
                <w:sz w:val="20"/>
                <w:szCs w:val="20"/>
                <w:lang w:eastAsia="es-CL"/>
              </w:rPr>
              <w:t>N° balones de</w:t>
            </w:r>
            <w:r w:rsidRPr="00DA5E33">
              <w:rPr>
                <w:rFonts w:eastAsia="Times New Roman" w:cstheme="minorHAnsi"/>
                <w:bCs/>
                <w:sz w:val="20"/>
                <w:szCs w:val="20"/>
                <w:lang w:eastAsia="es-CL"/>
              </w:rPr>
              <w:t xml:space="preserve"> Gas 11 kg</w:t>
            </w:r>
          </w:p>
        </w:tc>
        <w:tc>
          <w:tcPr>
            <w:tcW w:w="2738" w:type="dxa"/>
          </w:tcPr>
          <w:p w:rsidR="005C3678" w:rsidRPr="005B1A7F" w:rsidRDefault="005C3678" w:rsidP="005C3678">
            <w:pPr>
              <w:pStyle w:val="Prrafodelista"/>
              <w:ind w:left="0"/>
              <w:jc w:val="center"/>
              <w:rPr>
                <w:rFonts w:cstheme="minorHAnsi"/>
                <w:bCs/>
                <w:sz w:val="20"/>
                <w:szCs w:val="20"/>
              </w:rPr>
            </w:pPr>
            <w:r w:rsidRPr="005B1A7F">
              <w:rPr>
                <w:rFonts w:cstheme="minorHAnsi"/>
                <w:bCs/>
                <w:sz w:val="20"/>
                <w:szCs w:val="20"/>
              </w:rPr>
              <w:t>486</w:t>
            </w:r>
          </w:p>
        </w:tc>
        <w:tc>
          <w:tcPr>
            <w:tcW w:w="2839" w:type="dxa"/>
          </w:tcPr>
          <w:p w:rsidR="005C3678" w:rsidRPr="005B1A7F" w:rsidRDefault="005C3678" w:rsidP="005C3678">
            <w:pPr>
              <w:pStyle w:val="Prrafodelista"/>
              <w:ind w:left="0"/>
              <w:jc w:val="center"/>
              <w:rPr>
                <w:rFonts w:cstheme="minorHAnsi"/>
                <w:bCs/>
                <w:sz w:val="20"/>
                <w:szCs w:val="20"/>
              </w:rPr>
            </w:pPr>
            <w:r w:rsidRPr="005B1A7F">
              <w:rPr>
                <w:rFonts w:cstheme="minorHAnsi"/>
                <w:bCs/>
                <w:sz w:val="20"/>
                <w:szCs w:val="20"/>
              </w:rPr>
              <w:t>495</w:t>
            </w:r>
          </w:p>
        </w:tc>
      </w:tr>
      <w:tr w:rsidR="005C3678" w:rsidRPr="005B1A7F" w:rsidTr="005C3678">
        <w:tc>
          <w:tcPr>
            <w:tcW w:w="2757" w:type="dxa"/>
          </w:tcPr>
          <w:p w:rsidR="005C3678" w:rsidRPr="005B1A7F" w:rsidRDefault="005C3678" w:rsidP="005C3678">
            <w:pPr>
              <w:pStyle w:val="Prrafodelista"/>
              <w:ind w:left="0"/>
              <w:jc w:val="center"/>
              <w:rPr>
                <w:rFonts w:cstheme="minorHAnsi"/>
                <w:bCs/>
                <w:sz w:val="20"/>
                <w:szCs w:val="20"/>
              </w:rPr>
            </w:pPr>
            <w:r w:rsidRPr="005B1A7F">
              <w:rPr>
                <w:rFonts w:cstheme="minorHAnsi"/>
                <w:bCs/>
                <w:sz w:val="20"/>
                <w:szCs w:val="20"/>
              </w:rPr>
              <w:t>M</w:t>
            </w:r>
            <w:r w:rsidRPr="005B1A7F">
              <w:rPr>
                <w:bCs/>
                <w:sz w:val="20"/>
                <w:szCs w:val="20"/>
                <w:vertAlign w:val="superscript"/>
              </w:rPr>
              <w:t>3</w:t>
            </w:r>
          </w:p>
        </w:tc>
        <w:tc>
          <w:tcPr>
            <w:tcW w:w="2738" w:type="dxa"/>
          </w:tcPr>
          <w:p w:rsidR="005C3678" w:rsidRPr="005B1A7F" w:rsidRDefault="005C3678" w:rsidP="005C3678">
            <w:pPr>
              <w:pStyle w:val="Prrafodelista"/>
              <w:ind w:left="0"/>
              <w:jc w:val="center"/>
              <w:rPr>
                <w:rFonts w:cstheme="minorHAnsi"/>
                <w:bCs/>
                <w:sz w:val="20"/>
                <w:szCs w:val="20"/>
              </w:rPr>
            </w:pPr>
            <w:r w:rsidRPr="005B1A7F">
              <w:rPr>
                <w:bCs/>
                <w:sz w:val="20"/>
                <w:szCs w:val="20"/>
              </w:rPr>
              <w:t>10,3 m</w:t>
            </w:r>
            <w:r w:rsidRPr="005B1A7F">
              <w:rPr>
                <w:bCs/>
                <w:sz w:val="20"/>
                <w:szCs w:val="20"/>
                <w:vertAlign w:val="superscript"/>
              </w:rPr>
              <w:t>3</w:t>
            </w:r>
          </w:p>
        </w:tc>
        <w:tc>
          <w:tcPr>
            <w:tcW w:w="2839" w:type="dxa"/>
          </w:tcPr>
          <w:p w:rsidR="005C3678" w:rsidRPr="005B1A7F" w:rsidRDefault="005C3678" w:rsidP="005C3678">
            <w:pPr>
              <w:pStyle w:val="Prrafodelista"/>
              <w:ind w:left="0"/>
              <w:jc w:val="center"/>
              <w:rPr>
                <w:rFonts w:cstheme="minorHAnsi"/>
                <w:bCs/>
                <w:sz w:val="20"/>
                <w:szCs w:val="20"/>
              </w:rPr>
            </w:pPr>
            <w:r w:rsidRPr="005B1A7F">
              <w:rPr>
                <w:bCs/>
                <w:sz w:val="20"/>
                <w:szCs w:val="20"/>
              </w:rPr>
              <w:t>10,45 m</w:t>
            </w:r>
            <w:r w:rsidRPr="005B1A7F">
              <w:rPr>
                <w:bCs/>
                <w:sz w:val="20"/>
                <w:szCs w:val="20"/>
                <w:vertAlign w:val="superscript"/>
              </w:rPr>
              <w:t>3</w:t>
            </w:r>
          </w:p>
        </w:tc>
      </w:tr>
      <w:tr w:rsidR="005C3678" w:rsidRPr="005B1A7F" w:rsidTr="005C3678">
        <w:tc>
          <w:tcPr>
            <w:tcW w:w="2757" w:type="dxa"/>
          </w:tcPr>
          <w:p w:rsidR="005C3678" w:rsidRPr="005B1A7F" w:rsidRDefault="005C3678" w:rsidP="005C3678">
            <w:pPr>
              <w:pStyle w:val="Prrafodelista"/>
              <w:ind w:left="0"/>
              <w:jc w:val="center"/>
              <w:rPr>
                <w:rFonts w:cstheme="minorHAnsi"/>
                <w:b/>
                <w:bCs/>
                <w:sz w:val="20"/>
                <w:szCs w:val="20"/>
              </w:rPr>
            </w:pPr>
            <w:r w:rsidRPr="005B1A7F">
              <w:rPr>
                <w:rFonts w:cstheme="minorHAnsi"/>
                <w:b/>
                <w:bCs/>
                <w:sz w:val="20"/>
                <w:szCs w:val="20"/>
              </w:rPr>
              <w:t>Kg Co2</w:t>
            </w:r>
            <w:r w:rsidRPr="005B1A7F">
              <w:rPr>
                <w:b/>
                <w:bCs/>
                <w:sz w:val="20"/>
                <w:szCs w:val="20"/>
                <w:vertAlign w:val="superscript"/>
              </w:rPr>
              <w:t>2</w:t>
            </w:r>
            <w:r w:rsidRPr="005B1A7F">
              <w:rPr>
                <w:rFonts w:cstheme="minorHAnsi"/>
                <w:b/>
                <w:bCs/>
                <w:sz w:val="20"/>
                <w:szCs w:val="20"/>
              </w:rPr>
              <w:t xml:space="preserve"> eq</w:t>
            </w:r>
          </w:p>
        </w:tc>
        <w:tc>
          <w:tcPr>
            <w:tcW w:w="2738" w:type="dxa"/>
          </w:tcPr>
          <w:p w:rsidR="005C3678" w:rsidRPr="005B1A7F" w:rsidRDefault="005C3678" w:rsidP="005C3678">
            <w:pPr>
              <w:pStyle w:val="Prrafodelista"/>
              <w:ind w:left="0"/>
              <w:jc w:val="center"/>
              <w:rPr>
                <w:rFonts w:cstheme="minorHAnsi"/>
                <w:b/>
                <w:bCs/>
                <w:sz w:val="20"/>
                <w:szCs w:val="20"/>
              </w:rPr>
            </w:pPr>
            <w:r w:rsidRPr="005B1A7F">
              <w:rPr>
                <w:rFonts w:cstheme="minorHAnsi"/>
                <w:b/>
                <w:bCs/>
                <w:sz w:val="20"/>
                <w:szCs w:val="20"/>
              </w:rPr>
              <w:t>22,3</w:t>
            </w:r>
          </w:p>
        </w:tc>
        <w:tc>
          <w:tcPr>
            <w:tcW w:w="2839" w:type="dxa"/>
          </w:tcPr>
          <w:p w:rsidR="005C3678" w:rsidRPr="005B1A7F" w:rsidRDefault="005C3678" w:rsidP="005C3678">
            <w:pPr>
              <w:pStyle w:val="Prrafodelista"/>
              <w:ind w:left="0"/>
              <w:jc w:val="center"/>
              <w:rPr>
                <w:rFonts w:cstheme="minorHAnsi"/>
                <w:b/>
                <w:bCs/>
                <w:sz w:val="20"/>
                <w:szCs w:val="20"/>
              </w:rPr>
            </w:pPr>
            <w:r w:rsidRPr="005B1A7F">
              <w:rPr>
                <w:rFonts w:cstheme="minorHAnsi"/>
                <w:b/>
                <w:bCs/>
                <w:sz w:val="20"/>
                <w:szCs w:val="20"/>
              </w:rPr>
              <w:t>22,6</w:t>
            </w:r>
          </w:p>
        </w:tc>
      </w:tr>
    </w:tbl>
    <w:p w:rsidR="005C3678" w:rsidRDefault="005C3678" w:rsidP="005C3678">
      <w:pPr>
        <w:pStyle w:val="Prrafodelista"/>
        <w:rPr>
          <w:bCs/>
        </w:rPr>
      </w:pPr>
    </w:p>
    <w:p w:rsidR="005C3678" w:rsidRDefault="005C3678" w:rsidP="005C3678">
      <w:pPr>
        <w:pStyle w:val="Prrafodelista"/>
        <w:rPr>
          <w:bCs/>
        </w:rPr>
      </w:pPr>
      <w:r w:rsidRPr="000804E4">
        <w:rPr>
          <w:bCs/>
        </w:rPr>
        <w:t> </w:t>
      </w:r>
    </w:p>
    <w:p w:rsidR="005C3678" w:rsidRPr="00CA481A" w:rsidRDefault="005C3678" w:rsidP="005C3678">
      <w:pPr>
        <w:pStyle w:val="Prrafodelista"/>
        <w:rPr>
          <w:bCs/>
          <w:u w:val="single"/>
        </w:rPr>
      </w:pPr>
      <w:r>
        <w:rPr>
          <w:bCs/>
          <w:u w:val="single"/>
        </w:rPr>
        <w:t>Gas ciudad</w:t>
      </w:r>
    </w:p>
    <w:p w:rsidR="005C3678" w:rsidRDefault="005C3678" w:rsidP="005C3678">
      <w:pPr>
        <w:pStyle w:val="Prrafodelista"/>
        <w:rPr>
          <w:bCs/>
        </w:rPr>
      </w:pPr>
    </w:p>
    <w:p w:rsidR="005C3678" w:rsidRDefault="005C3678" w:rsidP="005C3678">
      <w:pPr>
        <w:pStyle w:val="Prrafodelista"/>
        <w:jc w:val="both"/>
        <w:rPr>
          <w:bCs/>
        </w:rPr>
      </w:pPr>
      <w:r>
        <w:rPr>
          <w:bCs/>
        </w:rPr>
        <w:t>Para el gas ciudad la recopilación de información se encuentre en proceso y a la fecha contamos con información mensual para el período comprendido entre sept. 2015 y agosto 2016, vale decir, un año</w:t>
      </w:r>
      <w:r>
        <w:rPr>
          <w:rStyle w:val="Refdenotaalpie"/>
          <w:bCs/>
        </w:rPr>
        <w:footnoteReference w:id="5"/>
      </w:r>
      <w:r>
        <w:rPr>
          <w:bCs/>
        </w:rPr>
        <w:t xml:space="preserve">.  </w:t>
      </w:r>
    </w:p>
    <w:p w:rsidR="005C3678" w:rsidRDefault="005C3678" w:rsidP="005C3678">
      <w:pPr>
        <w:pStyle w:val="Prrafodelista"/>
        <w:jc w:val="both"/>
        <w:rPr>
          <w:bCs/>
        </w:rPr>
      </w:pPr>
    </w:p>
    <w:p w:rsidR="005C3678" w:rsidRDefault="005C3678" w:rsidP="005C3678">
      <w:pPr>
        <w:pStyle w:val="Prrafodelista"/>
        <w:jc w:val="both"/>
        <w:rPr>
          <w:bCs/>
        </w:rPr>
      </w:pPr>
      <w:r>
        <w:rPr>
          <w:bCs/>
        </w:rPr>
        <w:t xml:space="preserve">En el campus Macul existen 33 medidores de gas pero sólo 27 se encuentran habilitados.  Los resultados de consumo mensual se muestran en el siguiente cuadro </w:t>
      </w:r>
    </w:p>
    <w:p w:rsidR="005C3678" w:rsidRDefault="005C3678" w:rsidP="005C3678">
      <w:pPr>
        <w:pStyle w:val="Prrafodelista"/>
        <w:jc w:val="both"/>
        <w:rPr>
          <w:bCs/>
        </w:rPr>
      </w:pPr>
    </w:p>
    <w:p w:rsidR="005C3678" w:rsidRDefault="005C3678" w:rsidP="005C3678">
      <w:pPr>
        <w:pStyle w:val="Prrafodelista"/>
        <w:jc w:val="center"/>
        <w:rPr>
          <w:bCs/>
        </w:rPr>
      </w:pPr>
    </w:p>
    <w:p w:rsidR="005C3678" w:rsidRDefault="005C3678" w:rsidP="005C3678">
      <w:pPr>
        <w:pStyle w:val="Prrafodelista"/>
        <w:jc w:val="center"/>
        <w:rPr>
          <w:bCs/>
        </w:rPr>
      </w:pPr>
      <w:r>
        <w:rPr>
          <w:bCs/>
        </w:rPr>
        <w:t>Resumen consumo gas ciudad</w:t>
      </w:r>
    </w:p>
    <w:tbl>
      <w:tblPr>
        <w:tblW w:w="9001" w:type="dxa"/>
        <w:jc w:val="center"/>
        <w:tblInd w:w="490" w:type="dxa"/>
        <w:tblCellMar>
          <w:left w:w="70" w:type="dxa"/>
          <w:right w:w="70" w:type="dxa"/>
        </w:tblCellMar>
        <w:tblLook w:val="04A0" w:firstRow="1" w:lastRow="0" w:firstColumn="1" w:lastColumn="0" w:noHBand="0" w:noVBand="1"/>
      </w:tblPr>
      <w:tblGrid>
        <w:gridCol w:w="637"/>
        <w:gridCol w:w="711"/>
        <w:gridCol w:w="778"/>
        <w:gridCol w:w="781"/>
        <w:gridCol w:w="711"/>
        <w:gridCol w:w="707"/>
        <w:gridCol w:w="709"/>
        <w:gridCol w:w="709"/>
        <w:gridCol w:w="707"/>
        <w:gridCol w:w="707"/>
        <w:gridCol w:w="709"/>
        <w:gridCol w:w="711"/>
        <w:gridCol w:w="763"/>
      </w:tblGrid>
      <w:tr w:rsidR="005C3678" w:rsidRPr="00394D96" w:rsidTr="005C3678">
        <w:trPr>
          <w:trHeight w:val="315"/>
          <w:jc w:val="center"/>
        </w:trPr>
        <w:tc>
          <w:tcPr>
            <w:tcW w:w="63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C3678" w:rsidRPr="00394D96" w:rsidRDefault="005C3678" w:rsidP="005C3678">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año</w:t>
            </w:r>
          </w:p>
        </w:tc>
        <w:tc>
          <w:tcPr>
            <w:tcW w:w="5599" w:type="dxa"/>
            <w:gridSpan w:val="8"/>
            <w:tcBorders>
              <w:top w:val="single" w:sz="8" w:space="0" w:color="auto"/>
              <w:left w:val="nil"/>
              <w:bottom w:val="single" w:sz="8" w:space="0" w:color="auto"/>
              <w:right w:val="single" w:sz="8" w:space="0" w:color="000000"/>
            </w:tcBorders>
            <w:shd w:val="clear" w:color="auto" w:fill="auto"/>
            <w:noWrap/>
            <w:vAlign w:val="bottom"/>
            <w:hideMark/>
          </w:tcPr>
          <w:p w:rsidR="005C3678" w:rsidRPr="00394D96" w:rsidRDefault="005C3678" w:rsidP="005C3678">
            <w:pPr>
              <w:jc w:val="center"/>
              <w:rPr>
                <w:rFonts w:ascii="Calibri" w:eastAsia="Times New Roman" w:hAnsi="Calibri" w:cs="Calibri"/>
                <w:b/>
                <w:color w:val="000000"/>
                <w:sz w:val="16"/>
                <w:szCs w:val="16"/>
                <w:lang w:eastAsia="es-CL"/>
              </w:rPr>
            </w:pPr>
            <w:r w:rsidRPr="00394D96">
              <w:rPr>
                <w:rFonts w:ascii="Calibri" w:eastAsia="Times New Roman" w:hAnsi="Calibri" w:cs="Calibri"/>
                <w:b/>
                <w:color w:val="000000"/>
                <w:sz w:val="16"/>
                <w:szCs w:val="16"/>
                <w:lang w:eastAsia="es-CL"/>
              </w:rPr>
              <w:t>2016</w:t>
            </w:r>
          </w:p>
        </w:tc>
        <w:tc>
          <w:tcPr>
            <w:tcW w:w="276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C3678" w:rsidRPr="00394D96" w:rsidRDefault="005C3678" w:rsidP="005C3678">
            <w:pPr>
              <w:jc w:val="center"/>
              <w:rPr>
                <w:rFonts w:ascii="Calibri" w:eastAsia="Times New Roman" w:hAnsi="Calibri" w:cs="Calibri"/>
                <w:b/>
                <w:color w:val="000000"/>
                <w:sz w:val="16"/>
                <w:szCs w:val="16"/>
                <w:lang w:eastAsia="es-CL"/>
              </w:rPr>
            </w:pPr>
            <w:r w:rsidRPr="00394D96">
              <w:rPr>
                <w:rFonts w:ascii="Calibri" w:eastAsia="Times New Roman" w:hAnsi="Calibri" w:cs="Calibri"/>
                <w:b/>
                <w:color w:val="000000"/>
                <w:sz w:val="16"/>
                <w:szCs w:val="16"/>
                <w:lang w:eastAsia="es-CL"/>
              </w:rPr>
              <w:t>2015</w:t>
            </w:r>
          </w:p>
        </w:tc>
      </w:tr>
      <w:tr w:rsidR="005C3678" w:rsidRPr="005B1A7F" w:rsidTr="005C3678">
        <w:trPr>
          <w:trHeight w:val="300"/>
          <w:jc w:val="center"/>
        </w:trPr>
        <w:tc>
          <w:tcPr>
            <w:tcW w:w="637" w:type="dxa"/>
            <w:tcBorders>
              <w:top w:val="nil"/>
              <w:left w:val="single" w:sz="8" w:space="0" w:color="auto"/>
              <w:bottom w:val="single" w:sz="4" w:space="0" w:color="auto"/>
              <w:right w:val="single" w:sz="8" w:space="0" w:color="auto"/>
            </w:tcBorders>
            <w:shd w:val="clear" w:color="auto" w:fill="auto"/>
            <w:noWrap/>
            <w:vAlign w:val="bottom"/>
            <w:hideMark/>
          </w:tcPr>
          <w:p w:rsidR="005C3678" w:rsidRPr="00394D96" w:rsidRDefault="005C3678" w:rsidP="005C3678">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mes</w:t>
            </w:r>
          </w:p>
        </w:tc>
        <w:tc>
          <w:tcPr>
            <w:tcW w:w="640"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ago</w:t>
            </w:r>
          </w:p>
        </w:tc>
        <w:tc>
          <w:tcPr>
            <w:tcW w:w="778"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jul</w:t>
            </w:r>
          </w:p>
        </w:tc>
        <w:tc>
          <w:tcPr>
            <w:tcW w:w="781"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jun</w:t>
            </w:r>
          </w:p>
        </w:tc>
        <w:tc>
          <w:tcPr>
            <w:tcW w:w="640"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may</w:t>
            </w:r>
          </w:p>
        </w:tc>
        <w:tc>
          <w:tcPr>
            <w:tcW w:w="705"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abr</w:t>
            </w:r>
          </w:p>
        </w:tc>
        <w:tc>
          <w:tcPr>
            <w:tcW w:w="709"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mar</w:t>
            </w:r>
          </w:p>
        </w:tc>
        <w:tc>
          <w:tcPr>
            <w:tcW w:w="709"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feb</w:t>
            </w:r>
          </w:p>
        </w:tc>
        <w:tc>
          <w:tcPr>
            <w:tcW w:w="637"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ene</w:t>
            </w:r>
          </w:p>
        </w:tc>
        <w:tc>
          <w:tcPr>
            <w:tcW w:w="638"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dic</w:t>
            </w:r>
          </w:p>
        </w:tc>
        <w:tc>
          <w:tcPr>
            <w:tcW w:w="709"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nov</w:t>
            </w:r>
          </w:p>
        </w:tc>
        <w:tc>
          <w:tcPr>
            <w:tcW w:w="709"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oct</w:t>
            </w:r>
          </w:p>
        </w:tc>
        <w:tc>
          <w:tcPr>
            <w:tcW w:w="709" w:type="dxa"/>
            <w:tcBorders>
              <w:top w:val="nil"/>
              <w:left w:val="nil"/>
              <w:bottom w:val="single" w:sz="4" w:space="0" w:color="auto"/>
              <w:right w:val="single" w:sz="8"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sep</w:t>
            </w:r>
          </w:p>
        </w:tc>
      </w:tr>
      <w:tr w:rsidR="005C3678" w:rsidRPr="005B1A7F" w:rsidTr="005C3678">
        <w:trPr>
          <w:trHeight w:val="300"/>
          <w:jc w:val="center"/>
        </w:trPr>
        <w:tc>
          <w:tcPr>
            <w:tcW w:w="637" w:type="dxa"/>
            <w:tcBorders>
              <w:top w:val="nil"/>
              <w:left w:val="single" w:sz="8" w:space="0" w:color="auto"/>
              <w:bottom w:val="single" w:sz="4" w:space="0" w:color="auto"/>
              <w:right w:val="single" w:sz="8" w:space="0" w:color="auto"/>
            </w:tcBorders>
            <w:shd w:val="clear" w:color="auto" w:fill="auto"/>
            <w:noWrap/>
            <w:vAlign w:val="bottom"/>
            <w:hideMark/>
          </w:tcPr>
          <w:p w:rsidR="005C3678" w:rsidRPr="00394D96" w:rsidRDefault="005C3678" w:rsidP="005C3678">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total m3</w:t>
            </w:r>
          </w:p>
        </w:tc>
        <w:tc>
          <w:tcPr>
            <w:tcW w:w="640"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40.316,9</w:t>
            </w:r>
          </w:p>
        </w:tc>
        <w:tc>
          <w:tcPr>
            <w:tcW w:w="778"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41.058,8</w:t>
            </w:r>
          </w:p>
        </w:tc>
        <w:tc>
          <w:tcPr>
            <w:tcW w:w="781"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33.810,5</w:t>
            </w:r>
          </w:p>
        </w:tc>
        <w:tc>
          <w:tcPr>
            <w:tcW w:w="640"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20.762,4</w:t>
            </w:r>
          </w:p>
        </w:tc>
        <w:tc>
          <w:tcPr>
            <w:tcW w:w="705"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14.533,6</w:t>
            </w:r>
          </w:p>
        </w:tc>
        <w:tc>
          <w:tcPr>
            <w:tcW w:w="709"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8.237,5</w:t>
            </w:r>
          </w:p>
        </w:tc>
        <w:tc>
          <w:tcPr>
            <w:tcW w:w="709"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4.123,0</w:t>
            </w:r>
          </w:p>
        </w:tc>
        <w:tc>
          <w:tcPr>
            <w:tcW w:w="637"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11.677,7</w:t>
            </w:r>
          </w:p>
        </w:tc>
        <w:tc>
          <w:tcPr>
            <w:tcW w:w="638"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10.957,5</w:t>
            </w:r>
          </w:p>
        </w:tc>
        <w:tc>
          <w:tcPr>
            <w:tcW w:w="709"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17.587,5</w:t>
            </w:r>
          </w:p>
        </w:tc>
        <w:tc>
          <w:tcPr>
            <w:tcW w:w="709"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31.183,2</w:t>
            </w:r>
          </w:p>
        </w:tc>
        <w:tc>
          <w:tcPr>
            <w:tcW w:w="709" w:type="dxa"/>
            <w:tcBorders>
              <w:top w:val="nil"/>
              <w:left w:val="nil"/>
              <w:bottom w:val="single" w:sz="4" w:space="0" w:color="auto"/>
              <w:right w:val="single" w:sz="8"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26.561,4</w:t>
            </w:r>
          </w:p>
        </w:tc>
      </w:tr>
      <w:tr w:rsidR="005C3678" w:rsidRPr="005B1A7F" w:rsidTr="005C3678">
        <w:trPr>
          <w:trHeight w:val="315"/>
          <w:jc w:val="center"/>
        </w:trPr>
        <w:tc>
          <w:tcPr>
            <w:tcW w:w="637" w:type="dxa"/>
            <w:tcBorders>
              <w:top w:val="nil"/>
              <w:left w:val="single" w:sz="8" w:space="0" w:color="auto"/>
              <w:bottom w:val="single" w:sz="8" w:space="0" w:color="auto"/>
              <w:right w:val="single" w:sz="8" w:space="0" w:color="auto"/>
            </w:tcBorders>
            <w:shd w:val="clear" w:color="auto" w:fill="auto"/>
            <w:noWrap/>
            <w:vAlign w:val="bottom"/>
            <w:hideMark/>
          </w:tcPr>
          <w:p w:rsidR="005C3678" w:rsidRPr="00394D96" w:rsidRDefault="005C3678" w:rsidP="005C3678">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kg C02</w:t>
            </w:r>
          </w:p>
        </w:tc>
        <w:tc>
          <w:tcPr>
            <w:tcW w:w="640" w:type="dxa"/>
            <w:tcBorders>
              <w:top w:val="nil"/>
              <w:left w:val="nil"/>
              <w:bottom w:val="single" w:sz="8" w:space="0" w:color="auto"/>
              <w:right w:val="single" w:sz="4" w:space="0" w:color="auto"/>
            </w:tcBorders>
            <w:shd w:val="clear" w:color="FFFFFF" w:fill="auto"/>
            <w:noWrap/>
            <w:vAlign w:val="bottom"/>
            <w:hideMark/>
          </w:tcPr>
          <w:p w:rsidR="005C3678" w:rsidRPr="00394D96" w:rsidRDefault="005C3678" w:rsidP="005C3678">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21.179,0 </w:t>
            </w:r>
          </w:p>
        </w:tc>
        <w:tc>
          <w:tcPr>
            <w:tcW w:w="778"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23.215,6 </w:t>
            </w:r>
          </w:p>
        </w:tc>
        <w:tc>
          <w:tcPr>
            <w:tcW w:w="781"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18.798,0 </w:t>
            </w:r>
          </w:p>
        </w:tc>
        <w:tc>
          <w:tcPr>
            <w:tcW w:w="640" w:type="dxa"/>
            <w:tcBorders>
              <w:top w:val="nil"/>
              <w:left w:val="nil"/>
              <w:bottom w:val="single" w:sz="8" w:space="0" w:color="auto"/>
              <w:right w:val="single" w:sz="4" w:space="0" w:color="auto"/>
            </w:tcBorders>
            <w:shd w:val="clear" w:color="FFFFFF" w:fill="auto"/>
            <w:noWrap/>
            <w:vAlign w:val="bottom"/>
            <w:hideMark/>
          </w:tcPr>
          <w:p w:rsidR="005C3678" w:rsidRPr="00394D96" w:rsidRDefault="005C3678" w:rsidP="005C3678">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11.473,5 </w:t>
            </w:r>
          </w:p>
        </w:tc>
        <w:tc>
          <w:tcPr>
            <w:tcW w:w="705"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7.811,3 </w:t>
            </w:r>
          </w:p>
        </w:tc>
        <w:tc>
          <w:tcPr>
            <w:tcW w:w="709"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4.380,7 </w:t>
            </w:r>
          </w:p>
        </w:tc>
        <w:tc>
          <w:tcPr>
            <w:tcW w:w="709"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2.206,3 </w:t>
            </w:r>
          </w:p>
        </w:tc>
        <w:tc>
          <w:tcPr>
            <w:tcW w:w="637" w:type="dxa"/>
            <w:tcBorders>
              <w:top w:val="nil"/>
              <w:left w:val="nil"/>
              <w:bottom w:val="single" w:sz="8" w:space="0" w:color="auto"/>
              <w:right w:val="single" w:sz="4" w:space="0" w:color="auto"/>
            </w:tcBorders>
            <w:shd w:val="clear" w:color="FFFFFF" w:fill="auto"/>
            <w:noWrap/>
            <w:vAlign w:val="bottom"/>
            <w:hideMark/>
          </w:tcPr>
          <w:p w:rsidR="005C3678" w:rsidRPr="00394D96" w:rsidRDefault="005C3678" w:rsidP="005C3678">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6.177,1 </w:t>
            </w:r>
          </w:p>
        </w:tc>
        <w:tc>
          <w:tcPr>
            <w:tcW w:w="638" w:type="dxa"/>
            <w:tcBorders>
              <w:top w:val="nil"/>
              <w:left w:val="nil"/>
              <w:bottom w:val="single" w:sz="8" w:space="0" w:color="auto"/>
              <w:right w:val="single" w:sz="4" w:space="0" w:color="auto"/>
            </w:tcBorders>
            <w:shd w:val="clear" w:color="FFFFFF" w:fill="auto"/>
            <w:noWrap/>
            <w:vAlign w:val="bottom"/>
            <w:hideMark/>
          </w:tcPr>
          <w:p w:rsidR="005C3678" w:rsidRPr="00394D96" w:rsidRDefault="005C3678" w:rsidP="005C3678">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4.789,7 </w:t>
            </w:r>
          </w:p>
        </w:tc>
        <w:tc>
          <w:tcPr>
            <w:tcW w:w="709"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9.446,7 </w:t>
            </w:r>
          </w:p>
        </w:tc>
        <w:tc>
          <w:tcPr>
            <w:tcW w:w="709" w:type="dxa"/>
            <w:tcBorders>
              <w:top w:val="nil"/>
              <w:left w:val="nil"/>
              <w:bottom w:val="single" w:sz="8" w:space="0" w:color="auto"/>
              <w:right w:val="single" w:sz="4" w:space="0" w:color="auto"/>
            </w:tcBorders>
            <w:shd w:val="clear" w:color="FFFFFF" w:fill="auto"/>
            <w:noWrap/>
            <w:vAlign w:val="bottom"/>
            <w:hideMark/>
          </w:tcPr>
          <w:p w:rsidR="005C3678" w:rsidRPr="00394D96" w:rsidRDefault="005C3678" w:rsidP="005C3678">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17.144,6 </w:t>
            </w:r>
          </w:p>
        </w:tc>
        <w:tc>
          <w:tcPr>
            <w:tcW w:w="709" w:type="dxa"/>
            <w:tcBorders>
              <w:top w:val="nil"/>
              <w:left w:val="nil"/>
              <w:bottom w:val="single" w:sz="8" w:space="0" w:color="auto"/>
              <w:right w:val="single" w:sz="8"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15.015,0 </w:t>
            </w:r>
          </w:p>
        </w:tc>
      </w:tr>
    </w:tbl>
    <w:p w:rsidR="005C3678" w:rsidRDefault="005C3678" w:rsidP="005C3678">
      <w:pPr>
        <w:pStyle w:val="Prrafodelista"/>
        <w:jc w:val="both"/>
        <w:rPr>
          <w:bCs/>
        </w:rPr>
      </w:pPr>
    </w:p>
    <w:p w:rsidR="005C3678" w:rsidRPr="00831214" w:rsidRDefault="005C3678" w:rsidP="005C3678">
      <w:pPr>
        <w:pStyle w:val="Prrafodelista"/>
        <w:rPr>
          <w:rFonts w:cstheme="minorHAnsi"/>
          <w:b/>
          <w:bCs/>
        </w:rPr>
      </w:pPr>
      <w:r w:rsidRPr="005B1A7F">
        <w:rPr>
          <w:b/>
          <w:bCs/>
        </w:rPr>
        <w:t xml:space="preserve">La emisión total en el período es de 141.637,53 de </w:t>
      </w:r>
      <w:r w:rsidRPr="005B1A7F">
        <w:rPr>
          <w:rFonts w:cstheme="minorHAnsi"/>
          <w:b/>
          <w:bCs/>
        </w:rPr>
        <w:t>Kg Co2</w:t>
      </w:r>
      <w:r w:rsidRPr="005B1A7F">
        <w:rPr>
          <w:b/>
          <w:bCs/>
          <w:vertAlign w:val="superscript"/>
        </w:rPr>
        <w:t>2</w:t>
      </w:r>
      <w:r w:rsidRPr="005B1A7F">
        <w:rPr>
          <w:rFonts w:cstheme="minorHAnsi"/>
          <w:b/>
          <w:bCs/>
        </w:rPr>
        <w:t xml:space="preserve"> eq.</w:t>
      </w:r>
    </w:p>
    <w:p w:rsidR="005C3678" w:rsidRDefault="005C3678" w:rsidP="005C3678">
      <w:pPr>
        <w:pStyle w:val="Prrafodelista"/>
        <w:rPr>
          <w:rFonts w:cstheme="minorHAnsi"/>
          <w:bCs/>
        </w:rPr>
      </w:pPr>
      <w:r>
        <w:rPr>
          <w:rFonts w:cstheme="minorHAnsi"/>
          <w:bCs/>
        </w:rPr>
        <w:t>En el siguiente gráfico se muestra el comportamiento anual del consumo.</w:t>
      </w:r>
    </w:p>
    <w:p w:rsidR="005C3678" w:rsidRDefault="005C3678" w:rsidP="005C3678">
      <w:pPr>
        <w:pStyle w:val="Prrafodelista"/>
        <w:rPr>
          <w:rFonts w:cstheme="minorHAnsi"/>
          <w:bCs/>
        </w:rPr>
      </w:pPr>
    </w:p>
    <w:p w:rsidR="005C3678" w:rsidRDefault="005C3678" w:rsidP="005C3678">
      <w:pPr>
        <w:pStyle w:val="Prrafodelista"/>
        <w:jc w:val="center"/>
        <w:rPr>
          <w:rFonts w:cstheme="minorHAnsi"/>
          <w:bCs/>
        </w:rPr>
      </w:pPr>
      <w:r>
        <w:rPr>
          <w:rFonts w:cstheme="minorHAnsi"/>
          <w:bCs/>
        </w:rPr>
        <w:t>Comportamiento anual consumo de gas</w:t>
      </w:r>
    </w:p>
    <w:p w:rsidR="005C3678" w:rsidRDefault="005C3678" w:rsidP="005C3678">
      <w:pPr>
        <w:pStyle w:val="Prrafodelista"/>
        <w:jc w:val="center"/>
        <w:rPr>
          <w:rFonts w:cstheme="minorHAnsi"/>
          <w:bCs/>
        </w:rPr>
      </w:pPr>
    </w:p>
    <w:p w:rsidR="005C3678" w:rsidRDefault="005C3678" w:rsidP="005C3678">
      <w:pPr>
        <w:pStyle w:val="Prrafodelista"/>
        <w:jc w:val="center"/>
        <w:rPr>
          <w:rFonts w:cstheme="minorHAnsi"/>
          <w:bCs/>
        </w:rPr>
      </w:pPr>
      <w:r w:rsidRPr="005652BF">
        <w:rPr>
          <w:bCs/>
          <w:noProof/>
          <w:lang w:val="es-ES" w:eastAsia="es-ES"/>
        </w:rPr>
        <w:drawing>
          <wp:inline distT="0" distB="0" distL="0" distR="0" wp14:anchorId="61E10C5B" wp14:editId="11A3D827">
            <wp:extent cx="4839197" cy="3037398"/>
            <wp:effectExtent l="19050" t="0" r="18553" b="0"/>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3678" w:rsidRPr="005652BF" w:rsidRDefault="005C3678" w:rsidP="005C3678">
      <w:pPr>
        <w:pStyle w:val="Prrafodelista"/>
        <w:rPr>
          <w:bCs/>
        </w:rPr>
      </w:pPr>
    </w:p>
    <w:p w:rsidR="005C3678" w:rsidRPr="00DA7E7C" w:rsidRDefault="005C3678" w:rsidP="005C3678">
      <w:pPr>
        <w:ind w:firstLine="708"/>
        <w:jc w:val="both"/>
        <w:rPr>
          <w:rFonts w:eastAsia="Times New Roman" w:cstheme="minorHAnsi"/>
          <w:bCs/>
          <w:sz w:val="18"/>
          <w:szCs w:val="18"/>
          <w:lang w:eastAsia="es-CL"/>
        </w:rPr>
      </w:pPr>
      <w:r>
        <w:rPr>
          <w:bCs/>
        </w:rPr>
        <w:t xml:space="preserve"> </w:t>
      </w:r>
      <w:r>
        <w:rPr>
          <w:rFonts w:eastAsia="Times New Roman" w:cstheme="minorHAnsi"/>
          <w:bCs/>
          <w:sz w:val="18"/>
          <w:szCs w:val="18"/>
          <w:lang w:eastAsia="es-CL"/>
        </w:rPr>
        <w:t xml:space="preserve">Fuente: elaboración </w:t>
      </w:r>
      <w:r w:rsidRPr="00DA7E7C">
        <w:rPr>
          <w:rFonts w:eastAsia="Times New Roman" w:cstheme="minorHAnsi"/>
          <w:bCs/>
          <w:sz w:val="18"/>
          <w:szCs w:val="18"/>
          <w:lang w:eastAsia="es-CL"/>
        </w:rPr>
        <w:t xml:space="preserve">propia </w:t>
      </w:r>
    </w:p>
    <w:p w:rsidR="005C3678" w:rsidRDefault="005C3678" w:rsidP="005C3678">
      <w:pPr>
        <w:pStyle w:val="Prrafodelista"/>
        <w:jc w:val="both"/>
        <w:rPr>
          <w:bCs/>
        </w:rPr>
      </w:pPr>
    </w:p>
    <w:p w:rsidR="005C3678" w:rsidRDefault="005C3678" w:rsidP="005C3678">
      <w:pPr>
        <w:pStyle w:val="Prrafodelista"/>
        <w:jc w:val="both"/>
        <w:rPr>
          <w:bCs/>
        </w:rPr>
      </w:pPr>
    </w:p>
    <w:p w:rsidR="005C3678" w:rsidRPr="00041CFA" w:rsidRDefault="005C3678" w:rsidP="005C3678">
      <w:pPr>
        <w:pStyle w:val="Prrafodelista"/>
        <w:jc w:val="both"/>
      </w:pPr>
    </w:p>
    <w:p w:rsidR="005C3678" w:rsidRDefault="005C3678" w:rsidP="005C3678">
      <w:pPr>
        <w:pStyle w:val="Prrafodelista"/>
        <w:numPr>
          <w:ilvl w:val="0"/>
          <w:numId w:val="2"/>
        </w:numPr>
      </w:pPr>
      <w:r w:rsidRPr="00041CFA">
        <w:rPr>
          <w:b/>
        </w:rPr>
        <w:t xml:space="preserve">6.2 </w:t>
      </w:r>
      <w:r w:rsidRPr="00041CFA">
        <w:t>Las instituciones de educación superior estimarán y registrarán las emisiones derivadas del consumo de combustible fósil de:</w:t>
      </w:r>
    </w:p>
    <w:p w:rsidR="005C3678" w:rsidRPr="00041CFA" w:rsidRDefault="005C3678" w:rsidP="005C3678">
      <w:pPr>
        <w:pStyle w:val="Prrafodelista"/>
        <w:ind w:left="360"/>
      </w:pPr>
    </w:p>
    <w:p w:rsidR="005C3678" w:rsidRDefault="005C3678" w:rsidP="005C3678">
      <w:pPr>
        <w:pStyle w:val="Prrafodelista"/>
        <w:numPr>
          <w:ilvl w:val="0"/>
          <w:numId w:val="3"/>
        </w:numPr>
        <w:ind w:left="502" w:hanging="142"/>
      </w:pPr>
      <w:r w:rsidRPr="00711144">
        <w:rPr>
          <w:u w:val="single"/>
        </w:rPr>
        <w:t>Traslado con vehículos de la institución</w:t>
      </w:r>
      <w:r>
        <w:t xml:space="preserve"> </w:t>
      </w:r>
    </w:p>
    <w:p w:rsidR="005C3678" w:rsidRDefault="005C3678" w:rsidP="005C3678"/>
    <w:p w:rsidR="005C3678" w:rsidRDefault="005C3678" w:rsidP="005C3678">
      <w:pPr>
        <w:ind w:left="502"/>
        <w:jc w:val="both"/>
      </w:pPr>
      <w:r>
        <w:t xml:space="preserve">No ha sido posible encontrar información de detalle acerca del kilometraje real de los diversos vehículos  institucionales por lo que se ha recurrido a los choferes y encargados de mantenimiento para llegar a establecer una estimación razonablemente fidedigna. </w:t>
      </w:r>
    </w:p>
    <w:p w:rsidR="005C3678" w:rsidRDefault="005C3678" w:rsidP="005C3678"/>
    <w:p w:rsidR="005C3678" w:rsidRDefault="005C3678" w:rsidP="005C3678">
      <w:pPr>
        <w:ind w:left="502"/>
        <w:jc w:val="both"/>
      </w:pPr>
      <w:r>
        <w:t xml:space="preserve">De este modo, se asigna el mismo kilometraje para los años 2014, 2015 y 2016.  </w:t>
      </w:r>
      <w:r w:rsidRPr="00C31D8A">
        <w:t xml:space="preserve">En cualquier caso, </w:t>
      </w:r>
      <w:r>
        <w:t xml:space="preserve">se está diseñando un sistema de control permanente </w:t>
      </w:r>
      <w:r w:rsidRPr="00C31D8A">
        <w:t>para registrar los desplazamientos a futuro</w:t>
      </w:r>
      <w:r>
        <w:t xml:space="preserve"> (estará operacional en el mes de diciembre de 2016)</w:t>
      </w:r>
      <w:r w:rsidRPr="00C31D8A">
        <w:t>, considerando que la UMCE deberá comprometer una rebaja de sus emisiones de carbono</w:t>
      </w:r>
      <w:r>
        <w:t>.</w:t>
      </w:r>
    </w:p>
    <w:p w:rsidR="005C3678" w:rsidRDefault="005C3678" w:rsidP="005C3678">
      <w:pPr>
        <w:ind w:left="708"/>
        <w:jc w:val="both"/>
      </w:pPr>
    </w:p>
    <w:p w:rsidR="005C3678" w:rsidRDefault="005C3678" w:rsidP="005C3678">
      <w:pPr>
        <w:ind w:left="502"/>
      </w:pPr>
      <w:r>
        <w:t xml:space="preserve">En la tabla </w:t>
      </w:r>
      <w:r>
        <w:rPr>
          <w:b/>
          <w:color w:val="FF0000"/>
        </w:rPr>
        <w:t>001</w:t>
      </w:r>
      <w:r>
        <w:t xml:space="preserve"> a continuación, se muestran los resultados.       </w:t>
      </w:r>
    </w:p>
    <w:p w:rsidR="005C3678" w:rsidRDefault="005C3678" w:rsidP="005C3678">
      <w:pPr>
        <w:ind w:left="502"/>
      </w:pPr>
    </w:p>
    <w:p w:rsidR="005C3678" w:rsidRDefault="005C3678" w:rsidP="005C3678">
      <w:pPr>
        <w:jc w:val="center"/>
      </w:pPr>
    </w:p>
    <w:p w:rsidR="005C3678" w:rsidRPr="00623F09" w:rsidRDefault="005C3678" w:rsidP="005C3678">
      <w:pPr>
        <w:jc w:val="center"/>
        <w:rPr>
          <w:b/>
        </w:rPr>
      </w:pPr>
      <w:r w:rsidRPr="00623F09">
        <w:rPr>
          <w:b/>
        </w:rPr>
        <w:t>Tabla N°</w:t>
      </w:r>
      <w:r>
        <w:rPr>
          <w:b/>
          <w:color w:val="FF0000"/>
        </w:rPr>
        <w:t>001</w:t>
      </w:r>
    </w:p>
    <w:p w:rsidR="005C3678" w:rsidRDefault="005C3678" w:rsidP="005C3678">
      <w:pPr>
        <w:ind w:left="502"/>
        <w:jc w:val="center"/>
      </w:pPr>
      <w:r w:rsidRPr="00623F09">
        <w:rPr>
          <w:b/>
        </w:rPr>
        <w:t>Tipo de vehículo</w:t>
      </w:r>
      <w:r>
        <w:rPr>
          <w:b/>
        </w:rPr>
        <w:t xml:space="preserve">, </w:t>
      </w:r>
      <w:r w:rsidRPr="00623F09">
        <w:rPr>
          <w:b/>
        </w:rPr>
        <w:t>kilometraje anual estimado</w:t>
      </w:r>
      <w:r>
        <w:rPr>
          <w:b/>
        </w:rPr>
        <w:t xml:space="preserve"> y kg de Co</w:t>
      </w:r>
      <w:r w:rsidRPr="009B44D8">
        <w:rPr>
          <w:b/>
          <w:vertAlign w:val="superscript"/>
        </w:rPr>
        <w:t>2</w:t>
      </w:r>
      <w:r>
        <w:rPr>
          <w:b/>
        </w:rPr>
        <w:t xml:space="preserve"> eq</w:t>
      </w:r>
    </w:p>
    <w:p w:rsidR="005C3678" w:rsidRDefault="005C3678" w:rsidP="005C3678">
      <w:pPr>
        <w:jc w:val="center"/>
      </w:pP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5C3678" w:rsidTr="005C3678">
        <w:tc>
          <w:tcPr>
            <w:tcW w:w="1496" w:type="dxa"/>
          </w:tcPr>
          <w:p w:rsidR="005C3678" w:rsidRDefault="005C3678" w:rsidP="005C3678">
            <w:pPr>
              <w:jc w:val="center"/>
            </w:pPr>
            <w:r w:rsidRPr="00F412FC">
              <w:rPr>
                <w:b/>
              </w:rPr>
              <w:t>Vehículo</w:t>
            </w:r>
          </w:p>
        </w:tc>
        <w:tc>
          <w:tcPr>
            <w:tcW w:w="1496" w:type="dxa"/>
          </w:tcPr>
          <w:p w:rsidR="005C3678" w:rsidRDefault="005C3678" w:rsidP="005C3678">
            <w:pPr>
              <w:jc w:val="center"/>
            </w:pPr>
            <w:r w:rsidRPr="00F412FC">
              <w:rPr>
                <w:b/>
              </w:rPr>
              <w:t>Patente</w:t>
            </w:r>
          </w:p>
        </w:tc>
        <w:tc>
          <w:tcPr>
            <w:tcW w:w="1496" w:type="dxa"/>
          </w:tcPr>
          <w:p w:rsidR="005C3678" w:rsidRDefault="005C3678" w:rsidP="005C3678">
            <w:pPr>
              <w:jc w:val="center"/>
            </w:pPr>
            <w:r w:rsidRPr="00F412FC">
              <w:rPr>
                <w:b/>
              </w:rPr>
              <w:t>K</w:t>
            </w:r>
            <w:r>
              <w:rPr>
                <w:b/>
              </w:rPr>
              <w:t>m</w:t>
            </w:r>
            <w:r w:rsidRPr="00F412FC">
              <w:rPr>
                <w:b/>
              </w:rPr>
              <w:t xml:space="preserve"> </w:t>
            </w:r>
            <w:r>
              <w:rPr>
                <w:b/>
              </w:rPr>
              <w:t xml:space="preserve">/ </w:t>
            </w:r>
            <w:r w:rsidRPr="00F412FC">
              <w:rPr>
                <w:b/>
              </w:rPr>
              <w:t>año</w:t>
            </w:r>
          </w:p>
        </w:tc>
        <w:tc>
          <w:tcPr>
            <w:tcW w:w="1496" w:type="dxa"/>
          </w:tcPr>
          <w:p w:rsidR="005C3678" w:rsidRDefault="005C3678" w:rsidP="005C3678">
            <w:pPr>
              <w:jc w:val="center"/>
            </w:pPr>
            <w:r>
              <w:t>Kg Co2 eq</w:t>
            </w:r>
          </w:p>
          <w:p w:rsidR="005C3678" w:rsidRDefault="005C3678" w:rsidP="005C3678">
            <w:pPr>
              <w:jc w:val="center"/>
            </w:pPr>
            <w:r>
              <w:t>2014</w:t>
            </w:r>
          </w:p>
        </w:tc>
        <w:tc>
          <w:tcPr>
            <w:tcW w:w="1497" w:type="dxa"/>
          </w:tcPr>
          <w:p w:rsidR="005C3678" w:rsidRDefault="005C3678" w:rsidP="005C3678">
            <w:pPr>
              <w:jc w:val="center"/>
            </w:pPr>
            <w:r w:rsidRPr="003F262C">
              <w:t>Kg Co2 eq</w:t>
            </w:r>
          </w:p>
          <w:p w:rsidR="005C3678" w:rsidRPr="003F262C" w:rsidRDefault="005C3678" w:rsidP="005C3678">
            <w:pPr>
              <w:jc w:val="center"/>
            </w:pPr>
            <w:r>
              <w:t>2015</w:t>
            </w:r>
          </w:p>
        </w:tc>
        <w:tc>
          <w:tcPr>
            <w:tcW w:w="1497" w:type="dxa"/>
          </w:tcPr>
          <w:p w:rsidR="005C3678" w:rsidRDefault="005C3678" w:rsidP="005C3678">
            <w:pPr>
              <w:jc w:val="center"/>
            </w:pPr>
            <w:r w:rsidRPr="003F262C">
              <w:t>Kg Co2 eq 201</w:t>
            </w:r>
            <w:r>
              <w:t>6</w:t>
            </w:r>
          </w:p>
        </w:tc>
      </w:tr>
      <w:tr w:rsidR="005C3678" w:rsidTr="005C3678">
        <w:tc>
          <w:tcPr>
            <w:tcW w:w="1496" w:type="dxa"/>
          </w:tcPr>
          <w:p w:rsidR="005C3678" w:rsidRPr="009B44D8" w:rsidRDefault="005C3678" w:rsidP="005C3678">
            <w:pPr>
              <w:rPr>
                <w:sz w:val="18"/>
                <w:szCs w:val="18"/>
              </w:rPr>
            </w:pPr>
            <w:r w:rsidRPr="009B44D8">
              <w:rPr>
                <w:sz w:val="18"/>
                <w:szCs w:val="18"/>
              </w:rPr>
              <w:t>Minibus Nissan</w:t>
            </w:r>
          </w:p>
        </w:tc>
        <w:tc>
          <w:tcPr>
            <w:tcW w:w="1496" w:type="dxa"/>
          </w:tcPr>
          <w:p w:rsidR="005C3678" w:rsidRPr="009B44D8" w:rsidRDefault="005C3678" w:rsidP="005C3678">
            <w:pPr>
              <w:jc w:val="center"/>
              <w:rPr>
                <w:sz w:val="18"/>
                <w:szCs w:val="18"/>
              </w:rPr>
            </w:pPr>
            <w:r w:rsidRPr="009B44D8">
              <w:rPr>
                <w:sz w:val="18"/>
                <w:szCs w:val="18"/>
              </w:rPr>
              <w:t>GXBV58</w:t>
            </w:r>
          </w:p>
        </w:tc>
        <w:tc>
          <w:tcPr>
            <w:tcW w:w="1496" w:type="dxa"/>
          </w:tcPr>
          <w:p w:rsidR="005C3678" w:rsidRPr="009B44D8" w:rsidRDefault="005C3678" w:rsidP="005C3678">
            <w:pPr>
              <w:jc w:val="right"/>
              <w:rPr>
                <w:sz w:val="18"/>
                <w:szCs w:val="18"/>
              </w:rPr>
            </w:pPr>
            <w:r w:rsidRPr="009B44D8">
              <w:rPr>
                <w:sz w:val="18"/>
                <w:szCs w:val="18"/>
              </w:rPr>
              <w:t>13.122</w:t>
            </w:r>
          </w:p>
        </w:tc>
        <w:tc>
          <w:tcPr>
            <w:tcW w:w="1496" w:type="dxa"/>
          </w:tcPr>
          <w:p w:rsidR="005C3678" w:rsidRDefault="005C3678" w:rsidP="005C3678">
            <w:pPr>
              <w:jc w:val="right"/>
            </w:pPr>
            <w:r>
              <w:t>91.680,7</w:t>
            </w:r>
          </w:p>
        </w:tc>
        <w:tc>
          <w:tcPr>
            <w:tcW w:w="1497" w:type="dxa"/>
          </w:tcPr>
          <w:p w:rsidR="005C3678" w:rsidRDefault="005C3678" w:rsidP="005C3678">
            <w:pPr>
              <w:jc w:val="right"/>
            </w:pPr>
            <w:r>
              <w:t>91.680,7</w:t>
            </w:r>
          </w:p>
        </w:tc>
        <w:tc>
          <w:tcPr>
            <w:tcW w:w="1497" w:type="dxa"/>
          </w:tcPr>
          <w:p w:rsidR="005C3678" w:rsidRDefault="005C3678" w:rsidP="005C3678">
            <w:pPr>
              <w:jc w:val="right"/>
            </w:pPr>
            <w:r>
              <w:t>91.680,7</w:t>
            </w:r>
          </w:p>
        </w:tc>
      </w:tr>
      <w:tr w:rsidR="005C3678" w:rsidTr="005C3678">
        <w:tc>
          <w:tcPr>
            <w:tcW w:w="1496" w:type="dxa"/>
          </w:tcPr>
          <w:p w:rsidR="005C3678" w:rsidRPr="009B44D8" w:rsidRDefault="005C3678" w:rsidP="005C3678">
            <w:pPr>
              <w:rPr>
                <w:sz w:val="18"/>
                <w:szCs w:val="18"/>
              </w:rPr>
            </w:pPr>
            <w:r w:rsidRPr="009B44D8">
              <w:rPr>
                <w:sz w:val="18"/>
                <w:szCs w:val="18"/>
              </w:rPr>
              <w:t>Mastervan Suzuki</w:t>
            </w:r>
          </w:p>
        </w:tc>
        <w:tc>
          <w:tcPr>
            <w:tcW w:w="1496" w:type="dxa"/>
          </w:tcPr>
          <w:p w:rsidR="005C3678" w:rsidRPr="009B44D8" w:rsidRDefault="005C3678" w:rsidP="005C3678">
            <w:pPr>
              <w:jc w:val="center"/>
              <w:rPr>
                <w:sz w:val="18"/>
                <w:szCs w:val="18"/>
              </w:rPr>
            </w:pPr>
            <w:r w:rsidRPr="009B44D8">
              <w:rPr>
                <w:sz w:val="18"/>
                <w:szCs w:val="18"/>
              </w:rPr>
              <w:t>TU2504</w:t>
            </w:r>
          </w:p>
        </w:tc>
        <w:tc>
          <w:tcPr>
            <w:tcW w:w="1496" w:type="dxa"/>
          </w:tcPr>
          <w:p w:rsidR="005C3678" w:rsidRPr="009B44D8" w:rsidRDefault="005C3678" w:rsidP="005C3678">
            <w:pPr>
              <w:jc w:val="right"/>
              <w:rPr>
                <w:sz w:val="18"/>
                <w:szCs w:val="18"/>
              </w:rPr>
            </w:pPr>
            <w:r w:rsidRPr="009B44D8">
              <w:rPr>
                <w:sz w:val="18"/>
                <w:szCs w:val="18"/>
              </w:rPr>
              <w:t>5.948</w:t>
            </w:r>
          </w:p>
        </w:tc>
        <w:tc>
          <w:tcPr>
            <w:tcW w:w="1496" w:type="dxa"/>
          </w:tcPr>
          <w:p w:rsidR="005C3678" w:rsidRDefault="005C3678" w:rsidP="005C3678">
            <w:pPr>
              <w:jc w:val="right"/>
            </w:pPr>
            <w:r>
              <w:t>412.493,8</w:t>
            </w:r>
          </w:p>
        </w:tc>
        <w:tc>
          <w:tcPr>
            <w:tcW w:w="1497" w:type="dxa"/>
          </w:tcPr>
          <w:p w:rsidR="005C3678" w:rsidRDefault="005C3678" w:rsidP="005C3678">
            <w:pPr>
              <w:jc w:val="right"/>
            </w:pPr>
            <w:r>
              <w:t>412.493,8</w:t>
            </w:r>
          </w:p>
        </w:tc>
        <w:tc>
          <w:tcPr>
            <w:tcW w:w="1497" w:type="dxa"/>
          </w:tcPr>
          <w:p w:rsidR="005C3678" w:rsidRDefault="005C3678" w:rsidP="005C3678">
            <w:pPr>
              <w:jc w:val="right"/>
            </w:pPr>
            <w:r>
              <w:t>412.493,8</w:t>
            </w:r>
          </w:p>
        </w:tc>
      </w:tr>
      <w:tr w:rsidR="005C3678" w:rsidTr="005C3678">
        <w:tc>
          <w:tcPr>
            <w:tcW w:w="1496" w:type="dxa"/>
          </w:tcPr>
          <w:p w:rsidR="005C3678" w:rsidRPr="009B44D8" w:rsidRDefault="005C3678" w:rsidP="005C3678">
            <w:pPr>
              <w:rPr>
                <w:sz w:val="18"/>
                <w:szCs w:val="18"/>
              </w:rPr>
            </w:pPr>
            <w:r w:rsidRPr="009B44D8">
              <w:rPr>
                <w:sz w:val="18"/>
                <w:szCs w:val="18"/>
              </w:rPr>
              <w:t>Camioneta Chevrolet Luv</w:t>
            </w:r>
          </w:p>
        </w:tc>
        <w:tc>
          <w:tcPr>
            <w:tcW w:w="1496" w:type="dxa"/>
          </w:tcPr>
          <w:p w:rsidR="005C3678" w:rsidRPr="009B44D8" w:rsidRDefault="005C3678" w:rsidP="005C3678">
            <w:pPr>
              <w:jc w:val="center"/>
              <w:rPr>
                <w:sz w:val="18"/>
                <w:szCs w:val="18"/>
              </w:rPr>
            </w:pPr>
            <w:r w:rsidRPr="009B44D8">
              <w:rPr>
                <w:sz w:val="18"/>
                <w:szCs w:val="18"/>
              </w:rPr>
              <w:t>TU3614</w:t>
            </w:r>
          </w:p>
        </w:tc>
        <w:tc>
          <w:tcPr>
            <w:tcW w:w="1496" w:type="dxa"/>
          </w:tcPr>
          <w:p w:rsidR="005C3678" w:rsidRPr="009B44D8" w:rsidRDefault="005C3678" w:rsidP="005C3678">
            <w:pPr>
              <w:jc w:val="right"/>
              <w:rPr>
                <w:sz w:val="18"/>
                <w:szCs w:val="18"/>
              </w:rPr>
            </w:pPr>
            <w:r w:rsidRPr="009B44D8">
              <w:rPr>
                <w:sz w:val="18"/>
                <w:szCs w:val="18"/>
              </w:rPr>
              <w:t>15.125</w:t>
            </w:r>
          </w:p>
        </w:tc>
        <w:tc>
          <w:tcPr>
            <w:tcW w:w="1496" w:type="dxa"/>
          </w:tcPr>
          <w:p w:rsidR="005C3678" w:rsidRDefault="005C3678" w:rsidP="005C3678">
            <w:pPr>
              <w:jc w:val="right"/>
            </w:pPr>
            <w:r>
              <w:t>1.048.918,8</w:t>
            </w:r>
          </w:p>
        </w:tc>
        <w:tc>
          <w:tcPr>
            <w:tcW w:w="1497" w:type="dxa"/>
          </w:tcPr>
          <w:p w:rsidR="005C3678" w:rsidRDefault="005C3678" w:rsidP="005C3678">
            <w:pPr>
              <w:jc w:val="right"/>
            </w:pPr>
            <w:r>
              <w:t>1.048.918,8</w:t>
            </w:r>
          </w:p>
        </w:tc>
        <w:tc>
          <w:tcPr>
            <w:tcW w:w="1497" w:type="dxa"/>
          </w:tcPr>
          <w:p w:rsidR="005C3678" w:rsidRDefault="005C3678" w:rsidP="005C3678">
            <w:pPr>
              <w:jc w:val="right"/>
            </w:pPr>
            <w:r>
              <w:t>1.048.918,8</w:t>
            </w:r>
          </w:p>
        </w:tc>
      </w:tr>
      <w:tr w:rsidR="005C3678" w:rsidTr="005C3678">
        <w:tc>
          <w:tcPr>
            <w:tcW w:w="1496" w:type="dxa"/>
          </w:tcPr>
          <w:p w:rsidR="005C3678" w:rsidRPr="009B44D8" w:rsidRDefault="005C3678" w:rsidP="005C3678">
            <w:pPr>
              <w:rPr>
                <w:sz w:val="18"/>
                <w:szCs w:val="18"/>
              </w:rPr>
            </w:pPr>
            <w:r w:rsidRPr="009B44D8">
              <w:rPr>
                <w:sz w:val="18"/>
                <w:szCs w:val="18"/>
              </w:rPr>
              <w:t>Automovil Hyundai Elantra</w:t>
            </w:r>
          </w:p>
        </w:tc>
        <w:tc>
          <w:tcPr>
            <w:tcW w:w="1496" w:type="dxa"/>
          </w:tcPr>
          <w:p w:rsidR="005C3678" w:rsidRPr="009B44D8" w:rsidRDefault="005C3678" w:rsidP="005C3678">
            <w:pPr>
              <w:jc w:val="center"/>
              <w:rPr>
                <w:sz w:val="18"/>
                <w:szCs w:val="18"/>
              </w:rPr>
            </w:pPr>
            <w:r w:rsidRPr="009B44D8">
              <w:rPr>
                <w:sz w:val="18"/>
                <w:szCs w:val="18"/>
              </w:rPr>
              <w:t>GXBV47</w:t>
            </w:r>
          </w:p>
        </w:tc>
        <w:tc>
          <w:tcPr>
            <w:tcW w:w="1496" w:type="dxa"/>
          </w:tcPr>
          <w:p w:rsidR="005C3678" w:rsidRPr="009B44D8" w:rsidRDefault="005C3678" w:rsidP="005C3678">
            <w:pPr>
              <w:jc w:val="right"/>
              <w:rPr>
                <w:sz w:val="18"/>
                <w:szCs w:val="18"/>
              </w:rPr>
            </w:pPr>
            <w:r w:rsidRPr="009B44D8">
              <w:rPr>
                <w:sz w:val="18"/>
                <w:szCs w:val="18"/>
              </w:rPr>
              <w:t>8.671</w:t>
            </w:r>
          </w:p>
        </w:tc>
        <w:tc>
          <w:tcPr>
            <w:tcW w:w="1496" w:type="dxa"/>
          </w:tcPr>
          <w:p w:rsidR="005C3678" w:rsidRDefault="005C3678" w:rsidP="005C3678">
            <w:pPr>
              <w:jc w:val="right"/>
            </w:pPr>
            <w:r>
              <w:t>601.333,8</w:t>
            </w:r>
          </w:p>
        </w:tc>
        <w:tc>
          <w:tcPr>
            <w:tcW w:w="1497" w:type="dxa"/>
          </w:tcPr>
          <w:p w:rsidR="005C3678" w:rsidRDefault="005C3678" w:rsidP="005C3678">
            <w:pPr>
              <w:jc w:val="right"/>
            </w:pPr>
            <w:r>
              <w:t>601.333,8</w:t>
            </w:r>
          </w:p>
        </w:tc>
        <w:tc>
          <w:tcPr>
            <w:tcW w:w="1497" w:type="dxa"/>
          </w:tcPr>
          <w:p w:rsidR="005C3678" w:rsidRDefault="005C3678" w:rsidP="005C3678">
            <w:pPr>
              <w:jc w:val="right"/>
            </w:pPr>
            <w:r>
              <w:t>601.333,8</w:t>
            </w:r>
          </w:p>
        </w:tc>
      </w:tr>
      <w:tr w:rsidR="005C3678" w:rsidTr="005C3678">
        <w:tc>
          <w:tcPr>
            <w:tcW w:w="1496" w:type="dxa"/>
          </w:tcPr>
          <w:p w:rsidR="005C3678" w:rsidRPr="009B44D8" w:rsidRDefault="005C3678" w:rsidP="005C3678">
            <w:pPr>
              <w:rPr>
                <w:sz w:val="18"/>
                <w:szCs w:val="18"/>
              </w:rPr>
            </w:pPr>
            <w:r w:rsidRPr="009B44D8">
              <w:rPr>
                <w:sz w:val="18"/>
                <w:szCs w:val="18"/>
              </w:rPr>
              <w:t>Camion KIa</w:t>
            </w:r>
          </w:p>
        </w:tc>
        <w:tc>
          <w:tcPr>
            <w:tcW w:w="1496" w:type="dxa"/>
          </w:tcPr>
          <w:p w:rsidR="005C3678" w:rsidRPr="009B44D8" w:rsidRDefault="005C3678" w:rsidP="005C3678">
            <w:pPr>
              <w:jc w:val="center"/>
              <w:rPr>
                <w:sz w:val="18"/>
                <w:szCs w:val="18"/>
              </w:rPr>
            </w:pPr>
            <w:r w:rsidRPr="009B44D8">
              <w:rPr>
                <w:sz w:val="18"/>
                <w:szCs w:val="18"/>
              </w:rPr>
              <w:t>PN4008</w:t>
            </w:r>
          </w:p>
        </w:tc>
        <w:tc>
          <w:tcPr>
            <w:tcW w:w="1496" w:type="dxa"/>
          </w:tcPr>
          <w:p w:rsidR="005C3678" w:rsidRPr="009B44D8" w:rsidRDefault="005C3678" w:rsidP="005C3678">
            <w:pPr>
              <w:jc w:val="right"/>
              <w:rPr>
                <w:sz w:val="18"/>
                <w:szCs w:val="18"/>
              </w:rPr>
            </w:pPr>
            <w:r w:rsidRPr="009B44D8">
              <w:rPr>
                <w:sz w:val="18"/>
                <w:szCs w:val="18"/>
              </w:rPr>
              <w:t>6.442</w:t>
            </w:r>
          </w:p>
        </w:tc>
        <w:tc>
          <w:tcPr>
            <w:tcW w:w="1496" w:type="dxa"/>
          </w:tcPr>
          <w:p w:rsidR="005C3678" w:rsidRDefault="005C3678" w:rsidP="005C3678">
            <w:pPr>
              <w:jc w:val="right"/>
            </w:pPr>
            <w:r>
              <w:t>446.752,8</w:t>
            </w:r>
          </w:p>
        </w:tc>
        <w:tc>
          <w:tcPr>
            <w:tcW w:w="1497" w:type="dxa"/>
          </w:tcPr>
          <w:p w:rsidR="005C3678" w:rsidRDefault="005C3678" w:rsidP="005C3678">
            <w:pPr>
              <w:jc w:val="right"/>
            </w:pPr>
            <w:r>
              <w:t>446.752,8</w:t>
            </w:r>
          </w:p>
        </w:tc>
        <w:tc>
          <w:tcPr>
            <w:tcW w:w="1497" w:type="dxa"/>
          </w:tcPr>
          <w:p w:rsidR="005C3678" w:rsidRDefault="005C3678" w:rsidP="005C3678">
            <w:pPr>
              <w:jc w:val="right"/>
            </w:pPr>
            <w:r>
              <w:t>446.752,8</w:t>
            </w:r>
          </w:p>
        </w:tc>
      </w:tr>
      <w:tr w:rsidR="005C3678" w:rsidTr="005C3678">
        <w:tc>
          <w:tcPr>
            <w:tcW w:w="1496" w:type="dxa"/>
          </w:tcPr>
          <w:p w:rsidR="005C3678" w:rsidRPr="009B44D8" w:rsidRDefault="005C3678" w:rsidP="005C3678">
            <w:pPr>
              <w:rPr>
                <w:sz w:val="18"/>
                <w:szCs w:val="18"/>
              </w:rPr>
            </w:pPr>
            <w:r w:rsidRPr="009B44D8">
              <w:rPr>
                <w:sz w:val="18"/>
                <w:szCs w:val="18"/>
              </w:rPr>
              <w:t>Bus Mercedes Benz LO915</w:t>
            </w:r>
          </w:p>
        </w:tc>
        <w:tc>
          <w:tcPr>
            <w:tcW w:w="1496" w:type="dxa"/>
          </w:tcPr>
          <w:p w:rsidR="005C3678" w:rsidRPr="009B44D8" w:rsidRDefault="005C3678" w:rsidP="005C3678">
            <w:pPr>
              <w:jc w:val="center"/>
              <w:rPr>
                <w:sz w:val="18"/>
                <w:szCs w:val="18"/>
              </w:rPr>
            </w:pPr>
            <w:r w:rsidRPr="009B44D8">
              <w:rPr>
                <w:sz w:val="18"/>
                <w:szCs w:val="18"/>
              </w:rPr>
              <w:t>XU8160</w:t>
            </w:r>
          </w:p>
        </w:tc>
        <w:tc>
          <w:tcPr>
            <w:tcW w:w="1496" w:type="dxa"/>
          </w:tcPr>
          <w:p w:rsidR="005C3678" w:rsidRPr="009B44D8" w:rsidRDefault="005C3678" w:rsidP="005C3678">
            <w:pPr>
              <w:jc w:val="right"/>
              <w:rPr>
                <w:sz w:val="18"/>
                <w:szCs w:val="18"/>
              </w:rPr>
            </w:pPr>
            <w:r w:rsidRPr="009B44D8">
              <w:rPr>
                <w:sz w:val="18"/>
                <w:szCs w:val="18"/>
              </w:rPr>
              <w:t>12.480</w:t>
            </w:r>
          </w:p>
        </w:tc>
        <w:tc>
          <w:tcPr>
            <w:tcW w:w="1496" w:type="dxa"/>
          </w:tcPr>
          <w:p w:rsidR="005C3678" w:rsidRDefault="005C3678" w:rsidP="005C3678">
            <w:pPr>
              <w:jc w:val="right"/>
            </w:pPr>
            <w:r>
              <w:t>865.488,0</w:t>
            </w:r>
          </w:p>
        </w:tc>
        <w:tc>
          <w:tcPr>
            <w:tcW w:w="1497" w:type="dxa"/>
          </w:tcPr>
          <w:p w:rsidR="005C3678" w:rsidRDefault="005C3678" w:rsidP="005C3678">
            <w:pPr>
              <w:jc w:val="right"/>
            </w:pPr>
            <w:r>
              <w:t>865.488,0</w:t>
            </w:r>
          </w:p>
        </w:tc>
        <w:tc>
          <w:tcPr>
            <w:tcW w:w="1497" w:type="dxa"/>
          </w:tcPr>
          <w:p w:rsidR="005C3678" w:rsidRDefault="005C3678" w:rsidP="005C3678">
            <w:pPr>
              <w:jc w:val="right"/>
            </w:pPr>
            <w:r>
              <w:t>865.488,0</w:t>
            </w:r>
          </w:p>
        </w:tc>
      </w:tr>
      <w:tr w:rsidR="005C3678" w:rsidRPr="002B1734" w:rsidTr="005C3678">
        <w:tc>
          <w:tcPr>
            <w:tcW w:w="2992" w:type="dxa"/>
            <w:gridSpan w:val="2"/>
          </w:tcPr>
          <w:p w:rsidR="005C3678" w:rsidRPr="002B1734" w:rsidRDefault="005C3678" w:rsidP="005C3678">
            <w:pPr>
              <w:jc w:val="center"/>
              <w:rPr>
                <w:b/>
                <w:sz w:val="18"/>
                <w:szCs w:val="18"/>
              </w:rPr>
            </w:pPr>
            <w:r w:rsidRPr="002B1734">
              <w:rPr>
                <w:b/>
                <w:sz w:val="18"/>
                <w:szCs w:val="18"/>
              </w:rPr>
              <w:t>Total</w:t>
            </w:r>
          </w:p>
        </w:tc>
        <w:tc>
          <w:tcPr>
            <w:tcW w:w="1496" w:type="dxa"/>
          </w:tcPr>
          <w:p w:rsidR="005C3678" w:rsidRPr="002B1734" w:rsidRDefault="005C3678" w:rsidP="005C3678">
            <w:pPr>
              <w:jc w:val="right"/>
              <w:rPr>
                <w:b/>
                <w:sz w:val="18"/>
                <w:szCs w:val="18"/>
              </w:rPr>
            </w:pPr>
            <w:r w:rsidRPr="002B1734">
              <w:rPr>
                <w:b/>
                <w:sz w:val="18"/>
                <w:szCs w:val="18"/>
              </w:rPr>
              <w:t>61.788</w:t>
            </w:r>
          </w:p>
        </w:tc>
        <w:tc>
          <w:tcPr>
            <w:tcW w:w="1496" w:type="dxa"/>
          </w:tcPr>
          <w:p w:rsidR="005C3678" w:rsidRPr="002B1734" w:rsidRDefault="005C3678" w:rsidP="005C3678">
            <w:pPr>
              <w:jc w:val="right"/>
              <w:rPr>
                <w:b/>
              </w:rPr>
            </w:pPr>
            <w:r w:rsidRPr="002B1734">
              <w:rPr>
                <w:b/>
                <w:sz w:val="18"/>
                <w:szCs w:val="18"/>
              </w:rPr>
              <w:t>61.788</w:t>
            </w:r>
          </w:p>
        </w:tc>
        <w:tc>
          <w:tcPr>
            <w:tcW w:w="1497" w:type="dxa"/>
          </w:tcPr>
          <w:p w:rsidR="005C3678" w:rsidRPr="002B1734" w:rsidRDefault="005C3678" w:rsidP="005C3678">
            <w:pPr>
              <w:jc w:val="right"/>
              <w:rPr>
                <w:b/>
              </w:rPr>
            </w:pPr>
            <w:r w:rsidRPr="002B1734">
              <w:rPr>
                <w:b/>
                <w:sz w:val="18"/>
                <w:szCs w:val="18"/>
              </w:rPr>
              <w:t>61.788</w:t>
            </w:r>
          </w:p>
        </w:tc>
        <w:tc>
          <w:tcPr>
            <w:tcW w:w="1497" w:type="dxa"/>
          </w:tcPr>
          <w:p w:rsidR="005C3678" w:rsidRPr="002B1734" w:rsidRDefault="005C3678" w:rsidP="005C3678">
            <w:pPr>
              <w:jc w:val="right"/>
              <w:rPr>
                <w:b/>
              </w:rPr>
            </w:pPr>
            <w:r w:rsidRPr="002B1734">
              <w:rPr>
                <w:b/>
                <w:sz w:val="18"/>
                <w:szCs w:val="18"/>
              </w:rPr>
              <w:t>61.788</w:t>
            </w:r>
          </w:p>
        </w:tc>
      </w:tr>
    </w:tbl>
    <w:p w:rsidR="005C3678" w:rsidRPr="002B1734" w:rsidRDefault="005C3678" w:rsidP="005C3678">
      <w:pPr>
        <w:jc w:val="center"/>
        <w:rPr>
          <w:b/>
        </w:rPr>
      </w:pPr>
    </w:p>
    <w:p w:rsidR="005C3678" w:rsidRPr="00041CFA" w:rsidRDefault="005C3678" w:rsidP="005C3678"/>
    <w:p w:rsidR="005C3678" w:rsidRDefault="005C3678" w:rsidP="005C3678">
      <w:pPr>
        <w:pStyle w:val="Prrafodelista"/>
        <w:numPr>
          <w:ilvl w:val="0"/>
          <w:numId w:val="3"/>
        </w:numPr>
        <w:ind w:left="502" w:hanging="142"/>
      </w:pPr>
      <w:r w:rsidRPr="00711144">
        <w:rPr>
          <w:u w:val="single"/>
        </w:rPr>
        <w:t>Traslado aéreos</w:t>
      </w:r>
      <w:r w:rsidRPr="00041CFA">
        <w:t xml:space="preserve"> pagados por la institución de académicos, funcionarios y alumnos (Km).</w:t>
      </w:r>
    </w:p>
    <w:p w:rsidR="005C3678" w:rsidRDefault="005C3678" w:rsidP="005C3678">
      <w:pPr>
        <w:pStyle w:val="Prrafodelista"/>
        <w:ind w:left="502"/>
        <w:jc w:val="both"/>
      </w:pPr>
      <w:r>
        <w:t xml:space="preserve">El listado completo para traslados aéreos entre el </w:t>
      </w:r>
      <w:r w:rsidRPr="002B04D0">
        <w:t>09-01-2014</w:t>
      </w:r>
      <w:r>
        <w:t xml:space="preserve"> y el </w:t>
      </w:r>
      <w:r w:rsidRPr="002B04D0">
        <w:t>17-10-2016</w:t>
      </w:r>
      <w:r>
        <w:t xml:space="preserve"> se entrega en </w:t>
      </w:r>
    </w:p>
    <w:p w:rsidR="005C3678" w:rsidRPr="00386679" w:rsidRDefault="005C3678" w:rsidP="005C3678">
      <w:pPr>
        <w:pStyle w:val="Prrafodelista"/>
        <w:ind w:left="502"/>
        <w:jc w:val="both"/>
      </w:pPr>
      <w:r w:rsidRPr="00386679">
        <w:t xml:space="preserve">Anexo 6.1 pasajes aéreos.xls </w:t>
      </w:r>
    </w:p>
    <w:p w:rsidR="005C3678" w:rsidRDefault="005C3678" w:rsidP="005C3678">
      <w:pPr>
        <w:pStyle w:val="Prrafodelista"/>
        <w:ind w:left="502"/>
      </w:pPr>
    </w:p>
    <w:p w:rsidR="005C3678" w:rsidRDefault="005C3678" w:rsidP="005C3678">
      <w:pPr>
        <w:pStyle w:val="Prrafodelista"/>
        <w:ind w:left="502"/>
      </w:pPr>
      <w:r>
        <w:t xml:space="preserve">En la Tabla N° </w:t>
      </w:r>
      <w:r>
        <w:rPr>
          <w:b/>
          <w:color w:val="FF0000"/>
        </w:rPr>
        <w:t>001</w:t>
      </w:r>
      <w:r>
        <w:t xml:space="preserve"> se entregan resultados agregados, los cuales se han dividido entre vuelos en Chile, América latina y Europa (que incluye América del norte). </w:t>
      </w:r>
    </w:p>
    <w:p w:rsidR="005C3678" w:rsidRDefault="005C3678" w:rsidP="005C3678">
      <w:pPr>
        <w:pStyle w:val="Prrafodelista"/>
        <w:ind w:left="502"/>
      </w:pPr>
    </w:p>
    <w:p w:rsidR="005C3678" w:rsidRDefault="005C3678" w:rsidP="005C3678">
      <w:pPr>
        <w:pStyle w:val="Prrafodelista"/>
        <w:ind w:left="502"/>
        <w:jc w:val="both"/>
      </w:pPr>
      <w:r>
        <w:t>Se trabaja en una revisión detallada de cada uno de los viajes de modo de poder tener un kilometraje ajustado 100% a la realidad</w:t>
      </w:r>
      <w:r>
        <w:rPr>
          <w:rStyle w:val="Refdenotaalpie"/>
        </w:rPr>
        <w:footnoteReference w:id="6"/>
      </w:r>
      <w:r>
        <w:t xml:space="preserve"> pero, por lo pronto, se ha recurrido a una estimación gruesa de las distancias de la siguiente manera:</w:t>
      </w:r>
    </w:p>
    <w:p w:rsidR="005C3678" w:rsidRDefault="005C3678" w:rsidP="005C3678">
      <w:pPr>
        <w:pStyle w:val="Prrafodelista"/>
        <w:ind w:left="502"/>
      </w:pPr>
    </w:p>
    <w:p w:rsidR="005C3678" w:rsidRDefault="005C3678" w:rsidP="005C3678">
      <w:pPr>
        <w:ind w:left="2835" w:hanging="2409"/>
      </w:pPr>
      <w:r>
        <w:t>Viajes nacionales:</w:t>
      </w:r>
      <w:r>
        <w:tab/>
        <w:t>2.000 km. (ida y vuelta)</w:t>
      </w:r>
    </w:p>
    <w:p w:rsidR="005C3678" w:rsidRDefault="005C3678" w:rsidP="005C3678">
      <w:pPr>
        <w:ind w:left="2835" w:hanging="2409"/>
      </w:pPr>
      <w:r>
        <w:t>Viajes A. Latina:</w:t>
      </w:r>
      <w:r>
        <w:tab/>
        <w:t xml:space="preserve">6.000 km. (ida y vuelta) </w:t>
      </w:r>
    </w:p>
    <w:p w:rsidR="005C3678" w:rsidRDefault="005C3678" w:rsidP="005C3678">
      <w:pPr>
        <w:ind w:left="2835" w:hanging="2409"/>
      </w:pPr>
      <w:r>
        <w:t>Viajes Europa:</w:t>
      </w:r>
      <w:r>
        <w:tab/>
        <w:t>28.000 km. (ida y vuelta)</w:t>
      </w:r>
    </w:p>
    <w:p w:rsidR="005C3678" w:rsidRDefault="005C3678" w:rsidP="005C3678">
      <w:pPr>
        <w:pStyle w:val="Prrafodelista"/>
        <w:ind w:left="502"/>
      </w:pPr>
      <w:r>
        <w:t xml:space="preserve">  </w:t>
      </w:r>
    </w:p>
    <w:p w:rsidR="005C3678" w:rsidRDefault="005C3678" w:rsidP="005C3678">
      <w:pPr>
        <w:pStyle w:val="Prrafodelista"/>
        <w:ind w:left="502"/>
        <w:jc w:val="center"/>
      </w:pPr>
      <w:r>
        <w:t>Viajes aéreos por destino y por año</w:t>
      </w:r>
    </w:p>
    <w:tbl>
      <w:tblPr>
        <w:tblStyle w:val="Tablaconcuadrcula"/>
        <w:tblW w:w="0" w:type="auto"/>
        <w:tblInd w:w="502" w:type="dxa"/>
        <w:tblLook w:val="04A0" w:firstRow="1" w:lastRow="0" w:firstColumn="1" w:lastColumn="0" w:noHBand="0" w:noVBand="1"/>
      </w:tblPr>
      <w:tblGrid>
        <w:gridCol w:w="1341"/>
        <w:gridCol w:w="1412"/>
        <w:gridCol w:w="1877"/>
        <w:gridCol w:w="1344"/>
        <w:gridCol w:w="1348"/>
        <w:gridCol w:w="1230"/>
      </w:tblGrid>
      <w:tr w:rsidR="005C3678" w:rsidRPr="00FF7ABA" w:rsidTr="005C3678">
        <w:tc>
          <w:tcPr>
            <w:tcW w:w="1359" w:type="dxa"/>
          </w:tcPr>
          <w:p w:rsidR="005C3678" w:rsidRPr="00FF7ABA" w:rsidRDefault="005C3678" w:rsidP="005C3678">
            <w:pPr>
              <w:pStyle w:val="Prrafodelista"/>
              <w:ind w:left="0"/>
              <w:jc w:val="center"/>
              <w:rPr>
                <w:b/>
                <w:sz w:val="20"/>
                <w:szCs w:val="20"/>
              </w:rPr>
            </w:pPr>
            <w:r w:rsidRPr="00FF7ABA">
              <w:rPr>
                <w:b/>
                <w:sz w:val="20"/>
                <w:szCs w:val="20"/>
              </w:rPr>
              <w:t>Año</w:t>
            </w:r>
          </w:p>
        </w:tc>
        <w:tc>
          <w:tcPr>
            <w:tcW w:w="1426" w:type="dxa"/>
          </w:tcPr>
          <w:p w:rsidR="005C3678" w:rsidRPr="00FF7ABA" w:rsidRDefault="005C3678" w:rsidP="005C3678">
            <w:pPr>
              <w:pStyle w:val="Prrafodelista"/>
              <w:ind w:left="0"/>
              <w:jc w:val="center"/>
              <w:rPr>
                <w:b/>
                <w:sz w:val="20"/>
                <w:szCs w:val="20"/>
              </w:rPr>
            </w:pPr>
            <w:r w:rsidRPr="00FF7ABA">
              <w:rPr>
                <w:b/>
                <w:sz w:val="20"/>
                <w:szCs w:val="20"/>
              </w:rPr>
              <w:t>Europa</w:t>
            </w:r>
          </w:p>
        </w:tc>
        <w:tc>
          <w:tcPr>
            <w:tcW w:w="1804" w:type="dxa"/>
          </w:tcPr>
          <w:p w:rsidR="005C3678" w:rsidRPr="00FF7ABA" w:rsidRDefault="005C3678" w:rsidP="005C3678">
            <w:pPr>
              <w:pStyle w:val="Prrafodelista"/>
              <w:numPr>
                <w:ilvl w:val="0"/>
                <w:numId w:val="6"/>
              </w:numPr>
              <w:jc w:val="center"/>
              <w:rPr>
                <w:b/>
                <w:sz w:val="20"/>
                <w:szCs w:val="20"/>
              </w:rPr>
            </w:pPr>
            <w:r w:rsidRPr="00FF7ABA">
              <w:rPr>
                <w:b/>
                <w:sz w:val="20"/>
                <w:szCs w:val="20"/>
              </w:rPr>
              <w:t>Latina</w:t>
            </w:r>
          </w:p>
        </w:tc>
        <w:tc>
          <w:tcPr>
            <w:tcW w:w="1361" w:type="dxa"/>
          </w:tcPr>
          <w:p w:rsidR="005C3678" w:rsidRPr="00FF7ABA" w:rsidRDefault="005C3678" w:rsidP="005C3678">
            <w:pPr>
              <w:pStyle w:val="Prrafodelista"/>
              <w:ind w:left="0"/>
              <w:jc w:val="center"/>
              <w:rPr>
                <w:b/>
                <w:sz w:val="20"/>
                <w:szCs w:val="20"/>
              </w:rPr>
            </w:pPr>
            <w:r w:rsidRPr="00FF7ABA">
              <w:rPr>
                <w:b/>
                <w:sz w:val="20"/>
                <w:szCs w:val="20"/>
              </w:rPr>
              <w:t>Chile</w:t>
            </w:r>
          </w:p>
        </w:tc>
        <w:tc>
          <w:tcPr>
            <w:tcW w:w="1365" w:type="dxa"/>
          </w:tcPr>
          <w:p w:rsidR="005C3678" w:rsidRPr="00FF7ABA" w:rsidRDefault="005C3678" w:rsidP="005C3678">
            <w:pPr>
              <w:pStyle w:val="Prrafodelista"/>
              <w:ind w:left="0"/>
              <w:jc w:val="center"/>
              <w:rPr>
                <w:b/>
                <w:sz w:val="20"/>
                <w:szCs w:val="20"/>
              </w:rPr>
            </w:pPr>
            <w:r w:rsidRPr="00FF7ABA">
              <w:rPr>
                <w:b/>
                <w:sz w:val="20"/>
                <w:szCs w:val="20"/>
              </w:rPr>
              <w:t>Total</w:t>
            </w:r>
          </w:p>
        </w:tc>
        <w:tc>
          <w:tcPr>
            <w:tcW w:w="1237" w:type="dxa"/>
          </w:tcPr>
          <w:p w:rsidR="005C3678" w:rsidRPr="00FF7ABA" w:rsidRDefault="005C3678" w:rsidP="005C3678">
            <w:pPr>
              <w:pStyle w:val="Prrafodelista"/>
              <w:ind w:left="0"/>
              <w:jc w:val="center"/>
              <w:rPr>
                <w:b/>
                <w:sz w:val="20"/>
                <w:szCs w:val="20"/>
              </w:rPr>
            </w:pPr>
            <w:r>
              <w:rPr>
                <w:b/>
                <w:sz w:val="20"/>
                <w:szCs w:val="20"/>
              </w:rPr>
              <w:t>Kg Co2 eq</w:t>
            </w:r>
          </w:p>
        </w:tc>
      </w:tr>
      <w:tr w:rsidR="005C3678" w:rsidRPr="00FF7ABA" w:rsidTr="005C3678">
        <w:tc>
          <w:tcPr>
            <w:tcW w:w="1359" w:type="dxa"/>
          </w:tcPr>
          <w:p w:rsidR="005C3678" w:rsidRPr="00FF7ABA" w:rsidRDefault="005C3678" w:rsidP="005C3678">
            <w:pPr>
              <w:pStyle w:val="Prrafodelista"/>
              <w:ind w:left="0"/>
              <w:rPr>
                <w:sz w:val="20"/>
                <w:szCs w:val="20"/>
              </w:rPr>
            </w:pPr>
            <w:r>
              <w:rPr>
                <w:sz w:val="20"/>
                <w:szCs w:val="20"/>
              </w:rPr>
              <w:t>2014</w:t>
            </w:r>
          </w:p>
        </w:tc>
        <w:tc>
          <w:tcPr>
            <w:tcW w:w="1426" w:type="dxa"/>
          </w:tcPr>
          <w:p w:rsidR="005C3678" w:rsidRPr="00FF7ABA" w:rsidRDefault="005C3678" w:rsidP="005C3678">
            <w:pPr>
              <w:pStyle w:val="Prrafodelista"/>
              <w:ind w:left="0"/>
              <w:jc w:val="center"/>
              <w:rPr>
                <w:sz w:val="20"/>
                <w:szCs w:val="20"/>
              </w:rPr>
            </w:pPr>
            <w:r>
              <w:rPr>
                <w:sz w:val="20"/>
                <w:szCs w:val="20"/>
              </w:rPr>
              <w:t>3</w:t>
            </w:r>
          </w:p>
        </w:tc>
        <w:tc>
          <w:tcPr>
            <w:tcW w:w="1804" w:type="dxa"/>
          </w:tcPr>
          <w:p w:rsidR="005C3678" w:rsidRPr="00FF7ABA" w:rsidRDefault="005C3678" w:rsidP="005C3678">
            <w:pPr>
              <w:pStyle w:val="Prrafodelista"/>
              <w:ind w:left="0"/>
              <w:jc w:val="center"/>
              <w:rPr>
                <w:sz w:val="20"/>
                <w:szCs w:val="20"/>
              </w:rPr>
            </w:pPr>
            <w:r>
              <w:rPr>
                <w:sz w:val="20"/>
                <w:szCs w:val="20"/>
              </w:rPr>
              <w:t>4</w:t>
            </w:r>
          </w:p>
        </w:tc>
        <w:tc>
          <w:tcPr>
            <w:tcW w:w="1361" w:type="dxa"/>
          </w:tcPr>
          <w:p w:rsidR="005C3678" w:rsidRPr="00FF7ABA" w:rsidRDefault="005C3678" w:rsidP="005C3678">
            <w:pPr>
              <w:pStyle w:val="Prrafodelista"/>
              <w:ind w:left="0"/>
              <w:jc w:val="center"/>
              <w:rPr>
                <w:sz w:val="20"/>
                <w:szCs w:val="20"/>
              </w:rPr>
            </w:pPr>
            <w:r>
              <w:rPr>
                <w:sz w:val="20"/>
                <w:szCs w:val="20"/>
              </w:rPr>
              <w:t>38</w:t>
            </w:r>
          </w:p>
        </w:tc>
        <w:tc>
          <w:tcPr>
            <w:tcW w:w="1365" w:type="dxa"/>
          </w:tcPr>
          <w:p w:rsidR="005C3678" w:rsidRPr="00FF7ABA" w:rsidRDefault="005C3678" w:rsidP="005C3678">
            <w:pPr>
              <w:pStyle w:val="Prrafodelista"/>
              <w:ind w:left="0"/>
              <w:jc w:val="center"/>
              <w:rPr>
                <w:sz w:val="20"/>
                <w:szCs w:val="20"/>
              </w:rPr>
            </w:pPr>
            <w:r>
              <w:rPr>
                <w:sz w:val="20"/>
                <w:szCs w:val="20"/>
              </w:rPr>
              <w:t>45</w:t>
            </w:r>
          </w:p>
        </w:tc>
        <w:tc>
          <w:tcPr>
            <w:tcW w:w="1237" w:type="dxa"/>
          </w:tcPr>
          <w:p w:rsidR="005C3678" w:rsidRPr="00E646C6" w:rsidRDefault="005C3678" w:rsidP="005C3678">
            <w:pPr>
              <w:pStyle w:val="Prrafodelista"/>
              <w:ind w:left="0"/>
              <w:jc w:val="center"/>
              <w:rPr>
                <w:b/>
                <w:sz w:val="20"/>
                <w:szCs w:val="20"/>
              </w:rPr>
            </w:pPr>
            <w:r w:rsidRPr="00E646C6">
              <w:rPr>
                <w:b/>
                <w:sz w:val="20"/>
                <w:szCs w:val="20"/>
              </w:rPr>
              <w:t>198.000</w:t>
            </w:r>
          </w:p>
        </w:tc>
      </w:tr>
      <w:tr w:rsidR="005C3678" w:rsidRPr="00FF7ABA" w:rsidTr="005C3678">
        <w:tc>
          <w:tcPr>
            <w:tcW w:w="1359" w:type="dxa"/>
          </w:tcPr>
          <w:p w:rsidR="005C3678" w:rsidRPr="00FF7ABA" w:rsidRDefault="005C3678" w:rsidP="005C3678">
            <w:pPr>
              <w:pStyle w:val="Prrafodelista"/>
              <w:ind w:left="0"/>
              <w:rPr>
                <w:sz w:val="20"/>
                <w:szCs w:val="20"/>
              </w:rPr>
            </w:pPr>
            <w:r>
              <w:rPr>
                <w:sz w:val="20"/>
                <w:szCs w:val="20"/>
              </w:rPr>
              <w:t>2015</w:t>
            </w:r>
          </w:p>
        </w:tc>
        <w:tc>
          <w:tcPr>
            <w:tcW w:w="1426" w:type="dxa"/>
          </w:tcPr>
          <w:p w:rsidR="005C3678" w:rsidRPr="00FF7ABA" w:rsidRDefault="005C3678" w:rsidP="005C3678">
            <w:pPr>
              <w:pStyle w:val="Prrafodelista"/>
              <w:ind w:left="0"/>
              <w:jc w:val="center"/>
              <w:rPr>
                <w:sz w:val="20"/>
                <w:szCs w:val="20"/>
              </w:rPr>
            </w:pPr>
            <w:r>
              <w:rPr>
                <w:sz w:val="20"/>
                <w:szCs w:val="20"/>
              </w:rPr>
              <w:t>6</w:t>
            </w:r>
          </w:p>
        </w:tc>
        <w:tc>
          <w:tcPr>
            <w:tcW w:w="1804" w:type="dxa"/>
          </w:tcPr>
          <w:p w:rsidR="005C3678" w:rsidRPr="00FF7ABA" w:rsidRDefault="005C3678" w:rsidP="005C3678">
            <w:pPr>
              <w:pStyle w:val="Prrafodelista"/>
              <w:ind w:left="0"/>
              <w:jc w:val="center"/>
              <w:rPr>
                <w:sz w:val="20"/>
                <w:szCs w:val="20"/>
              </w:rPr>
            </w:pPr>
            <w:r>
              <w:rPr>
                <w:sz w:val="20"/>
                <w:szCs w:val="20"/>
              </w:rPr>
              <w:t>16</w:t>
            </w:r>
          </w:p>
        </w:tc>
        <w:tc>
          <w:tcPr>
            <w:tcW w:w="1361" w:type="dxa"/>
          </w:tcPr>
          <w:p w:rsidR="005C3678" w:rsidRPr="00FF7ABA" w:rsidRDefault="005C3678" w:rsidP="005C3678">
            <w:pPr>
              <w:pStyle w:val="Prrafodelista"/>
              <w:ind w:left="0"/>
              <w:jc w:val="center"/>
              <w:rPr>
                <w:sz w:val="20"/>
                <w:szCs w:val="20"/>
              </w:rPr>
            </w:pPr>
            <w:r>
              <w:rPr>
                <w:sz w:val="20"/>
                <w:szCs w:val="20"/>
              </w:rPr>
              <w:t>36</w:t>
            </w:r>
          </w:p>
        </w:tc>
        <w:tc>
          <w:tcPr>
            <w:tcW w:w="1365" w:type="dxa"/>
          </w:tcPr>
          <w:p w:rsidR="005C3678" w:rsidRPr="00FF7ABA" w:rsidRDefault="005C3678" w:rsidP="005C3678">
            <w:pPr>
              <w:pStyle w:val="Prrafodelista"/>
              <w:ind w:left="0"/>
              <w:jc w:val="center"/>
              <w:rPr>
                <w:sz w:val="20"/>
                <w:szCs w:val="20"/>
              </w:rPr>
            </w:pPr>
            <w:r>
              <w:rPr>
                <w:sz w:val="20"/>
                <w:szCs w:val="20"/>
              </w:rPr>
              <w:t>58</w:t>
            </w:r>
          </w:p>
        </w:tc>
        <w:tc>
          <w:tcPr>
            <w:tcW w:w="1237" w:type="dxa"/>
          </w:tcPr>
          <w:p w:rsidR="005C3678" w:rsidRPr="00E646C6" w:rsidRDefault="005C3678" w:rsidP="005C3678">
            <w:pPr>
              <w:pStyle w:val="Prrafodelista"/>
              <w:ind w:left="0"/>
              <w:jc w:val="center"/>
              <w:rPr>
                <w:b/>
                <w:sz w:val="20"/>
                <w:szCs w:val="20"/>
              </w:rPr>
            </w:pPr>
            <w:r w:rsidRPr="00E646C6">
              <w:rPr>
                <w:b/>
                <w:sz w:val="20"/>
                <w:szCs w:val="20"/>
              </w:rPr>
              <w:t>372.000</w:t>
            </w:r>
          </w:p>
        </w:tc>
      </w:tr>
      <w:tr w:rsidR="005C3678" w:rsidRPr="00FF7ABA" w:rsidTr="005C3678">
        <w:tc>
          <w:tcPr>
            <w:tcW w:w="1359" w:type="dxa"/>
          </w:tcPr>
          <w:p w:rsidR="005C3678" w:rsidRPr="00FF7ABA" w:rsidRDefault="005C3678" w:rsidP="005C3678">
            <w:pPr>
              <w:pStyle w:val="Prrafodelista"/>
              <w:ind w:left="0"/>
              <w:rPr>
                <w:sz w:val="20"/>
                <w:szCs w:val="20"/>
              </w:rPr>
            </w:pPr>
            <w:r>
              <w:rPr>
                <w:sz w:val="20"/>
                <w:szCs w:val="20"/>
              </w:rPr>
              <w:t>2016</w:t>
            </w:r>
          </w:p>
        </w:tc>
        <w:tc>
          <w:tcPr>
            <w:tcW w:w="1426" w:type="dxa"/>
          </w:tcPr>
          <w:p w:rsidR="005C3678" w:rsidRPr="00FF7ABA" w:rsidRDefault="005C3678" w:rsidP="005C3678">
            <w:pPr>
              <w:pStyle w:val="Prrafodelista"/>
              <w:ind w:left="0"/>
              <w:jc w:val="center"/>
              <w:rPr>
                <w:sz w:val="20"/>
                <w:szCs w:val="20"/>
              </w:rPr>
            </w:pPr>
            <w:r>
              <w:rPr>
                <w:sz w:val="20"/>
                <w:szCs w:val="20"/>
              </w:rPr>
              <w:t>7</w:t>
            </w:r>
          </w:p>
        </w:tc>
        <w:tc>
          <w:tcPr>
            <w:tcW w:w="1804" w:type="dxa"/>
          </w:tcPr>
          <w:p w:rsidR="005C3678" w:rsidRPr="00FF7ABA" w:rsidRDefault="005C3678" w:rsidP="005C3678">
            <w:pPr>
              <w:pStyle w:val="Prrafodelista"/>
              <w:ind w:left="0"/>
              <w:jc w:val="center"/>
              <w:rPr>
                <w:sz w:val="20"/>
                <w:szCs w:val="20"/>
              </w:rPr>
            </w:pPr>
            <w:r>
              <w:rPr>
                <w:sz w:val="20"/>
                <w:szCs w:val="20"/>
              </w:rPr>
              <w:t>9</w:t>
            </w:r>
          </w:p>
        </w:tc>
        <w:tc>
          <w:tcPr>
            <w:tcW w:w="1361" w:type="dxa"/>
          </w:tcPr>
          <w:p w:rsidR="005C3678" w:rsidRPr="00FF7ABA" w:rsidRDefault="005C3678" w:rsidP="005C3678">
            <w:pPr>
              <w:pStyle w:val="Prrafodelista"/>
              <w:ind w:left="0"/>
              <w:jc w:val="center"/>
              <w:rPr>
                <w:sz w:val="20"/>
                <w:szCs w:val="20"/>
              </w:rPr>
            </w:pPr>
            <w:r>
              <w:rPr>
                <w:sz w:val="20"/>
                <w:szCs w:val="20"/>
              </w:rPr>
              <w:t>66</w:t>
            </w:r>
          </w:p>
        </w:tc>
        <w:tc>
          <w:tcPr>
            <w:tcW w:w="1365" w:type="dxa"/>
          </w:tcPr>
          <w:p w:rsidR="005C3678" w:rsidRPr="00FF7ABA" w:rsidRDefault="005C3678" w:rsidP="005C3678">
            <w:pPr>
              <w:pStyle w:val="Prrafodelista"/>
              <w:ind w:left="0"/>
              <w:jc w:val="center"/>
              <w:rPr>
                <w:sz w:val="20"/>
                <w:szCs w:val="20"/>
              </w:rPr>
            </w:pPr>
            <w:r>
              <w:rPr>
                <w:sz w:val="20"/>
                <w:szCs w:val="20"/>
              </w:rPr>
              <w:t>82</w:t>
            </w:r>
          </w:p>
        </w:tc>
        <w:tc>
          <w:tcPr>
            <w:tcW w:w="1237" w:type="dxa"/>
          </w:tcPr>
          <w:p w:rsidR="005C3678" w:rsidRPr="00E646C6" w:rsidRDefault="005C3678" w:rsidP="005C3678">
            <w:pPr>
              <w:pStyle w:val="Prrafodelista"/>
              <w:ind w:left="0"/>
              <w:jc w:val="center"/>
              <w:rPr>
                <w:b/>
                <w:sz w:val="20"/>
                <w:szCs w:val="20"/>
              </w:rPr>
            </w:pPr>
            <w:r w:rsidRPr="00E646C6">
              <w:rPr>
                <w:b/>
                <w:sz w:val="20"/>
                <w:szCs w:val="20"/>
              </w:rPr>
              <w:t>382.000</w:t>
            </w:r>
          </w:p>
        </w:tc>
      </w:tr>
    </w:tbl>
    <w:p w:rsidR="005C3678" w:rsidRDefault="005C3678" w:rsidP="005C3678">
      <w:pPr>
        <w:pStyle w:val="Prrafodelista"/>
        <w:ind w:left="502"/>
      </w:pPr>
    </w:p>
    <w:p w:rsidR="005C3678" w:rsidRPr="00041CFA" w:rsidRDefault="005C3678" w:rsidP="005C3678">
      <w:pPr>
        <w:pStyle w:val="Prrafodelista"/>
        <w:ind w:left="502"/>
      </w:pPr>
    </w:p>
    <w:p w:rsidR="005C3678" w:rsidRPr="00041CFA" w:rsidRDefault="005C3678" w:rsidP="005C3678">
      <w:pPr>
        <w:pStyle w:val="Prrafodelista"/>
        <w:numPr>
          <w:ilvl w:val="0"/>
          <w:numId w:val="3"/>
        </w:numPr>
        <w:ind w:left="502" w:hanging="142"/>
        <w:jc w:val="both"/>
      </w:pPr>
      <w:r w:rsidRPr="00711144">
        <w:rPr>
          <w:u w:val="single"/>
        </w:rPr>
        <w:t>Traslado de la comunidad</w:t>
      </w:r>
      <w:r w:rsidRPr="00041CFA">
        <w:t xml:space="preserve"> (académicos, funcionarios y alumnos) con vehículos que no pertenezcan a la institución desde sus hogares hasta las instalaciones y viceversa, diferenciando el medio de transporte utilizado (Km). </w:t>
      </w:r>
    </w:p>
    <w:p w:rsidR="005C3678" w:rsidRDefault="005C3678" w:rsidP="005C3678">
      <w:pPr>
        <w:ind w:left="360"/>
      </w:pPr>
    </w:p>
    <w:p w:rsidR="005C3678" w:rsidRDefault="005C3678" w:rsidP="005C3678">
      <w:pPr>
        <w:ind w:left="360"/>
      </w:pPr>
    </w:p>
    <w:p w:rsidR="005C3678" w:rsidRPr="00B459F1" w:rsidRDefault="005C3678" w:rsidP="005C3678">
      <w:pPr>
        <w:ind w:left="502"/>
        <w:jc w:val="center"/>
        <w:rPr>
          <w:u w:val="single"/>
        </w:rPr>
      </w:pPr>
      <w:r w:rsidRPr="00B459F1">
        <w:rPr>
          <w:u w:val="single"/>
        </w:rPr>
        <w:t>Cálculo huella de carbono población universitaria por tipo de transporte y por estamento</w:t>
      </w:r>
      <w:r>
        <w:rPr>
          <w:rStyle w:val="Refdenotaalpie"/>
          <w:u w:val="single"/>
        </w:rPr>
        <w:footnoteReference w:id="7"/>
      </w:r>
    </w:p>
    <w:p w:rsidR="005C3678" w:rsidRDefault="005C3678" w:rsidP="005C3678">
      <w:pPr>
        <w:ind w:left="360"/>
      </w:pPr>
    </w:p>
    <w:p w:rsidR="005C3678" w:rsidRDefault="005C3678" w:rsidP="005C3678">
      <w:pPr>
        <w:ind w:left="360"/>
        <w:jc w:val="center"/>
      </w:pPr>
      <w:r>
        <w:t>Tabla N° 1</w:t>
      </w:r>
    </w:p>
    <w:p w:rsidR="005C3678" w:rsidRDefault="005C3678" w:rsidP="005C3678">
      <w:pPr>
        <w:ind w:left="360"/>
        <w:jc w:val="center"/>
      </w:pPr>
      <w:r>
        <w:t>Composición población universitaria</w:t>
      </w:r>
    </w:p>
    <w:tbl>
      <w:tblPr>
        <w:tblStyle w:val="Tablaconcuadrcula"/>
        <w:tblW w:w="0" w:type="auto"/>
        <w:tblInd w:w="675" w:type="dxa"/>
        <w:tblLook w:val="04A0" w:firstRow="1" w:lastRow="0" w:firstColumn="1" w:lastColumn="0" w:noHBand="0" w:noVBand="1"/>
      </w:tblPr>
      <w:tblGrid>
        <w:gridCol w:w="2578"/>
        <w:gridCol w:w="2910"/>
        <w:gridCol w:w="2167"/>
      </w:tblGrid>
      <w:tr w:rsidR="005C3678" w:rsidRPr="00C50064" w:rsidTr="005C3678">
        <w:tc>
          <w:tcPr>
            <w:tcW w:w="2578" w:type="dxa"/>
          </w:tcPr>
          <w:p w:rsidR="005C3678" w:rsidRPr="00C50064" w:rsidRDefault="005C3678" w:rsidP="005C3678">
            <w:pPr>
              <w:jc w:val="center"/>
              <w:rPr>
                <w:sz w:val="18"/>
                <w:szCs w:val="18"/>
              </w:rPr>
            </w:pPr>
            <w:r w:rsidRPr="00C50064">
              <w:rPr>
                <w:sz w:val="18"/>
                <w:szCs w:val="18"/>
              </w:rPr>
              <w:t xml:space="preserve">Docentes </w:t>
            </w:r>
          </w:p>
        </w:tc>
        <w:tc>
          <w:tcPr>
            <w:tcW w:w="2910" w:type="dxa"/>
          </w:tcPr>
          <w:p w:rsidR="005C3678" w:rsidRPr="00C50064" w:rsidRDefault="005C3678" w:rsidP="005C3678">
            <w:pPr>
              <w:jc w:val="center"/>
              <w:rPr>
                <w:sz w:val="18"/>
                <w:szCs w:val="18"/>
              </w:rPr>
            </w:pPr>
            <w:r w:rsidRPr="00C50064">
              <w:rPr>
                <w:sz w:val="18"/>
                <w:szCs w:val="18"/>
              </w:rPr>
              <w:t>Funcionarios</w:t>
            </w:r>
          </w:p>
        </w:tc>
        <w:tc>
          <w:tcPr>
            <w:tcW w:w="2167" w:type="dxa"/>
          </w:tcPr>
          <w:p w:rsidR="005C3678" w:rsidRPr="00C50064" w:rsidRDefault="005C3678" w:rsidP="005C3678">
            <w:pPr>
              <w:jc w:val="center"/>
              <w:rPr>
                <w:sz w:val="18"/>
                <w:szCs w:val="18"/>
              </w:rPr>
            </w:pPr>
            <w:r w:rsidRPr="00C50064">
              <w:rPr>
                <w:sz w:val="18"/>
                <w:szCs w:val="18"/>
              </w:rPr>
              <w:t>Alumnos</w:t>
            </w:r>
          </w:p>
        </w:tc>
      </w:tr>
      <w:tr w:rsidR="005C3678" w:rsidRPr="00C50064" w:rsidTr="005C3678">
        <w:tc>
          <w:tcPr>
            <w:tcW w:w="2578" w:type="dxa"/>
          </w:tcPr>
          <w:p w:rsidR="005C3678" w:rsidRPr="00C50064" w:rsidRDefault="005C3678" w:rsidP="005C3678">
            <w:pPr>
              <w:jc w:val="center"/>
              <w:rPr>
                <w:sz w:val="18"/>
                <w:szCs w:val="18"/>
              </w:rPr>
            </w:pPr>
            <w:r w:rsidRPr="00C50064">
              <w:rPr>
                <w:sz w:val="18"/>
                <w:szCs w:val="18"/>
              </w:rPr>
              <w:t>505</w:t>
            </w:r>
          </w:p>
        </w:tc>
        <w:tc>
          <w:tcPr>
            <w:tcW w:w="2910" w:type="dxa"/>
          </w:tcPr>
          <w:p w:rsidR="005C3678" w:rsidRPr="00C50064" w:rsidRDefault="005C3678" w:rsidP="005C3678">
            <w:pPr>
              <w:jc w:val="center"/>
              <w:rPr>
                <w:sz w:val="18"/>
                <w:szCs w:val="18"/>
              </w:rPr>
            </w:pPr>
            <w:r w:rsidRPr="00C50064">
              <w:rPr>
                <w:sz w:val="18"/>
                <w:szCs w:val="18"/>
              </w:rPr>
              <w:t>420</w:t>
            </w:r>
          </w:p>
        </w:tc>
        <w:tc>
          <w:tcPr>
            <w:tcW w:w="2167" w:type="dxa"/>
          </w:tcPr>
          <w:p w:rsidR="005C3678" w:rsidRPr="00C50064" w:rsidRDefault="005C3678" w:rsidP="005C3678">
            <w:pPr>
              <w:jc w:val="center"/>
              <w:rPr>
                <w:sz w:val="18"/>
                <w:szCs w:val="18"/>
              </w:rPr>
            </w:pPr>
            <w:r w:rsidRPr="00C50064">
              <w:rPr>
                <w:sz w:val="18"/>
                <w:szCs w:val="18"/>
              </w:rPr>
              <w:t>4.546</w:t>
            </w:r>
          </w:p>
        </w:tc>
      </w:tr>
    </w:tbl>
    <w:p w:rsidR="005C3678" w:rsidRDefault="005C3678" w:rsidP="005C3678">
      <w:pPr>
        <w:ind w:left="360"/>
      </w:pPr>
    </w:p>
    <w:p w:rsidR="005C3678" w:rsidRDefault="005C3678" w:rsidP="005C3678">
      <w:pPr>
        <w:ind w:left="567"/>
        <w:rPr>
          <w:u w:val="single"/>
        </w:rPr>
      </w:pPr>
    </w:p>
    <w:p w:rsidR="005C3678" w:rsidRDefault="005C3678" w:rsidP="005C3678">
      <w:pPr>
        <w:ind w:left="567"/>
        <w:rPr>
          <w:u w:val="single"/>
        </w:rPr>
      </w:pPr>
    </w:p>
    <w:p w:rsidR="005C3678" w:rsidRDefault="005C3678" w:rsidP="005C3678">
      <w:pPr>
        <w:ind w:left="567"/>
        <w:rPr>
          <w:u w:val="single"/>
        </w:rPr>
      </w:pPr>
    </w:p>
    <w:p w:rsidR="005C3678" w:rsidRDefault="005C3678" w:rsidP="005C3678">
      <w:pPr>
        <w:ind w:left="567"/>
        <w:rPr>
          <w:u w:val="single"/>
        </w:rPr>
      </w:pPr>
      <w:r w:rsidRPr="004004BE">
        <w:rPr>
          <w:u w:val="single"/>
        </w:rPr>
        <w:t>Académicos</w:t>
      </w:r>
    </w:p>
    <w:p w:rsidR="005C3678" w:rsidRDefault="005C3678" w:rsidP="005C3678">
      <w:pPr>
        <w:ind w:left="567"/>
        <w:jc w:val="center"/>
      </w:pPr>
      <w:r>
        <w:t>Tabla N° 2</w:t>
      </w:r>
    </w:p>
    <w:p w:rsidR="005C3678" w:rsidRDefault="005C3678" w:rsidP="005C3678">
      <w:pPr>
        <w:ind w:left="567"/>
        <w:jc w:val="center"/>
      </w:pPr>
      <w:r>
        <w:t>Académicos por N° de horas docencia</w:t>
      </w:r>
      <w:r>
        <w:rPr>
          <w:rStyle w:val="Refdenotaalpie"/>
        </w:rPr>
        <w:footnoteReference w:id="8"/>
      </w:r>
      <w:r>
        <w:t xml:space="preserve"> </w:t>
      </w:r>
      <w:r>
        <w:rPr>
          <w:rStyle w:val="Refdenotaalpie"/>
        </w:rPr>
        <w:footnoteReference w:id="9"/>
      </w:r>
    </w:p>
    <w:tbl>
      <w:tblPr>
        <w:tblStyle w:val="Tablaconcuadrcula"/>
        <w:tblW w:w="0" w:type="auto"/>
        <w:tblInd w:w="675" w:type="dxa"/>
        <w:tblLook w:val="04A0" w:firstRow="1" w:lastRow="0" w:firstColumn="1" w:lastColumn="0" w:noHBand="0" w:noVBand="1"/>
      </w:tblPr>
      <w:tblGrid>
        <w:gridCol w:w="4136"/>
        <w:gridCol w:w="3235"/>
      </w:tblGrid>
      <w:tr w:rsidR="005C3678" w:rsidRPr="00C50064" w:rsidTr="005C3678">
        <w:tc>
          <w:tcPr>
            <w:tcW w:w="4136" w:type="dxa"/>
          </w:tcPr>
          <w:p w:rsidR="005C3678" w:rsidRPr="00C50064" w:rsidRDefault="005C3678" w:rsidP="005C3678">
            <w:pPr>
              <w:jc w:val="center"/>
              <w:rPr>
                <w:sz w:val="18"/>
                <w:szCs w:val="18"/>
              </w:rPr>
            </w:pPr>
            <w:r w:rsidRPr="00C50064">
              <w:rPr>
                <w:sz w:val="18"/>
                <w:szCs w:val="18"/>
              </w:rPr>
              <w:t>Tipo de contrato</w:t>
            </w:r>
          </w:p>
          <w:p w:rsidR="005C3678" w:rsidRPr="00C50064" w:rsidRDefault="005C3678" w:rsidP="005C3678">
            <w:pPr>
              <w:jc w:val="center"/>
              <w:rPr>
                <w:sz w:val="18"/>
                <w:szCs w:val="18"/>
              </w:rPr>
            </w:pPr>
            <w:r w:rsidRPr="00C50064">
              <w:rPr>
                <w:sz w:val="18"/>
                <w:szCs w:val="18"/>
              </w:rPr>
              <w:t>(por hrs. contratadas)</w:t>
            </w:r>
          </w:p>
        </w:tc>
        <w:tc>
          <w:tcPr>
            <w:tcW w:w="3235" w:type="dxa"/>
          </w:tcPr>
          <w:p w:rsidR="005C3678" w:rsidRPr="00C50064" w:rsidRDefault="005C3678" w:rsidP="005C3678">
            <w:pPr>
              <w:jc w:val="center"/>
              <w:rPr>
                <w:sz w:val="18"/>
                <w:szCs w:val="18"/>
              </w:rPr>
            </w:pPr>
            <w:r w:rsidRPr="00C50064">
              <w:rPr>
                <w:sz w:val="18"/>
                <w:szCs w:val="18"/>
              </w:rPr>
              <w:t>Número de personas</w:t>
            </w:r>
          </w:p>
        </w:tc>
      </w:tr>
      <w:tr w:rsidR="005C3678" w:rsidRPr="00C50064" w:rsidTr="005C3678">
        <w:tc>
          <w:tcPr>
            <w:tcW w:w="4136" w:type="dxa"/>
          </w:tcPr>
          <w:p w:rsidR="005C3678" w:rsidRPr="00C50064" w:rsidRDefault="005C3678" w:rsidP="005C3678">
            <w:pPr>
              <w:rPr>
                <w:sz w:val="18"/>
                <w:szCs w:val="18"/>
              </w:rPr>
            </w:pPr>
            <w:r w:rsidRPr="00C50064">
              <w:rPr>
                <w:sz w:val="18"/>
                <w:szCs w:val="18"/>
              </w:rPr>
              <w:t>44 y mas</w:t>
            </w:r>
          </w:p>
        </w:tc>
        <w:tc>
          <w:tcPr>
            <w:tcW w:w="3235" w:type="dxa"/>
          </w:tcPr>
          <w:p w:rsidR="005C3678" w:rsidRPr="00C50064" w:rsidRDefault="005C3678" w:rsidP="005C3678">
            <w:pPr>
              <w:jc w:val="center"/>
              <w:rPr>
                <w:sz w:val="18"/>
                <w:szCs w:val="18"/>
              </w:rPr>
            </w:pPr>
            <w:r w:rsidRPr="00C50064">
              <w:rPr>
                <w:sz w:val="18"/>
                <w:szCs w:val="18"/>
              </w:rPr>
              <w:t>225</w:t>
            </w:r>
          </w:p>
        </w:tc>
      </w:tr>
      <w:tr w:rsidR="005C3678" w:rsidRPr="00C50064" w:rsidTr="005C3678">
        <w:tc>
          <w:tcPr>
            <w:tcW w:w="4136" w:type="dxa"/>
          </w:tcPr>
          <w:p w:rsidR="005C3678" w:rsidRPr="00C50064" w:rsidRDefault="005C3678" w:rsidP="005C3678">
            <w:pPr>
              <w:rPr>
                <w:sz w:val="18"/>
                <w:szCs w:val="18"/>
              </w:rPr>
            </w:pPr>
            <w:r w:rsidRPr="00C50064">
              <w:rPr>
                <w:sz w:val="18"/>
                <w:szCs w:val="18"/>
              </w:rPr>
              <w:t>33 – 43</w:t>
            </w:r>
          </w:p>
        </w:tc>
        <w:tc>
          <w:tcPr>
            <w:tcW w:w="3235" w:type="dxa"/>
          </w:tcPr>
          <w:p w:rsidR="005C3678" w:rsidRPr="00C50064" w:rsidRDefault="005C3678" w:rsidP="005C3678">
            <w:pPr>
              <w:jc w:val="center"/>
              <w:rPr>
                <w:sz w:val="18"/>
                <w:szCs w:val="18"/>
              </w:rPr>
            </w:pPr>
            <w:r w:rsidRPr="00C50064">
              <w:rPr>
                <w:sz w:val="18"/>
                <w:szCs w:val="18"/>
              </w:rPr>
              <w:t xml:space="preserve">    8</w:t>
            </w:r>
          </w:p>
        </w:tc>
      </w:tr>
      <w:tr w:rsidR="005C3678" w:rsidRPr="00C50064" w:rsidTr="005C3678">
        <w:tc>
          <w:tcPr>
            <w:tcW w:w="4136" w:type="dxa"/>
          </w:tcPr>
          <w:p w:rsidR="005C3678" w:rsidRPr="00C50064" w:rsidRDefault="005C3678" w:rsidP="005C3678">
            <w:pPr>
              <w:rPr>
                <w:sz w:val="18"/>
                <w:szCs w:val="18"/>
              </w:rPr>
            </w:pPr>
            <w:r w:rsidRPr="00C50064">
              <w:rPr>
                <w:sz w:val="18"/>
                <w:szCs w:val="18"/>
              </w:rPr>
              <w:t>32 – 22</w:t>
            </w:r>
          </w:p>
        </w:tc>
        <w:tc>
          <w:tcPr>
            <w:tcW w:w="3235" w:type="dxa"/>
          </w:tcPr>
          <w:p w:rsidR="005C3678" w:rsidRPr="00C50064" w:rsidRDefault="005C3678" w:rsidP="005C3678">
            <w:pPr>
              <w:jc w:val="center"/>
              <w:rPr>
                <w:sz w:val="18"/>
                <w:szCs w:val="18"/>
              </w:rPr>
            </w:pPr>
            <w:r w:rsidRPr="00C50064">
              <w:rPr>
                <w:sz w:val="18"/>
                <w:szCs w:val="18"/>
              </w:rPr>
              <w:t>103</w:t>
            </w:r>
          </w:p>
        </w:tc>
      </w:tr>
      <w:tr w:rsidR="005C3678" w:rsidRPr="00C50064" w:rsidTr="005C3678">
        <w:tc>
          <w:tcPr>
            <w:tcW w:w="4136" w:type="dxa"/>
          </w:tcPr>
          <w:p w:rsidR="005C3678" w:rsidRPr="00C50064" w:rsidRDefault="005C3678" w:rsidP="005C3678">
            <w:pPr>
              <w:rPr>
                <w:sz w:val="18"/>
                <w:szCs w:val="18"/>
              </w:rPr>
            </w:pPr>
            <w:r w:rsidRPr="00C50064">
              <w:rPr>
                <w:sz w:val="18"/>
                <w:szCs w:val="18"/>
              </w:rPr>
              <w:t>Menos de 22</w:t>
            </w:r>
          </w:p>
        </w:tc>
        <w:tc>
          <w:tcPr>
            <w:tcW w:w="3235" w:type="dxa"/>
          </w:tcPr>
          <w:p w:rsidR="005C3678" w:rsidRPr="00C50064" w:rsidRDefault="005C3678" w:rsidP="005C3678">
            <w:pPr>
              <w:jc w:val="center"/>
              <w:rPr>
                <w:sz w:val="18"/>
                <w:szCs w:val="18"/>
              </w:rPr>
            </w:pPr>
            <w:r w:rsidRPr="00C50064">
              <w:rPr>
                <w:sz w:val="18"/>
                <w:szCs w:val="18"/>
              </w:rPr>
              <w:t>169</w:t>
            </w:r>
          </w:p>
        </w:tc>
      </w:tr>
      <w:tr w:rsidR="005C3678" w:rsidRPr="00C50064" w:rsidTr="005C3678">
        <w:tc>
          <w:tcPr>
            <w:tcW w:w="4136" w:type="dxa"/>
          </w:tcPr>
          <w:p w:rsidR="005C3678" w:rsidRPr="00C50064" w:rsidRDefault="005C3678" w:rsidP="005C3678">
            <w:pPr>
              <w:rPr>
                <w:b/>
                <w:sz w:val="18"/>
                <w:szCs w:val="18"/>
              </w:rPr>
            </w:pPr>
            <w:r w:rsidRPr="00C50064">
              <w:rPr>
                <w:b/>
                <w:sz w:val="18"/>
                <w:szCs w:val="18"/>
              </w:rPr>
              <w:t>Total</w:t>
            </w:r>
          </w:p>
        </w:tc>
        <w:tc>
          <w:tcPr>
            <w:tcW w:w="3235" w:type="dxa"/>
          </w:tcPr>
          <w:p w:rsidR="005C3678" w:rsidRPr="00C50064" w:rsidRDefault="005C3678" w:rsidP="005C3678">
            <w:pPr>
              <w:jc w:val="center"/>
              <w:rPr>
                <w:b/>
                <w:sz w:val="18"/>
                <w:szCs w:val="18"/>
              </w:rPr>
            </w:pPr>
            <w:r w:rsidRPr="00C50064">
              <w:rPr>
                <w:b/>
                <w:sz w:val="18"/>
                <w:szCs w:val="18"/>
              </w:rPr>
              <w:t>505</w:t>
            </w:r>
          </w:p>
        </w:tc>
      </w:tr>
    </w:tbl>
    <w:p w:rsidR="005C3678" w:rsidRDefault="005C3678" w:rsidP="005C3678">
      <w:pPr>
        <w:ind w:left="567"/>
      </w:pPr>
    </w:p>
    <w:p w:rsidR="005C3678" w:rsidRDefault="005C3678" w:rsidP="005C3678">
      <w:pPr>
        <w:ind w:left="567"/>
      </w:pPr>
    </w:p>
    <w:p w:rsidR="005C3678" w:rsidRDefault="005C3678" w:rsidP="005C3678">
      <w:pPr>
        <w:ind w:left="567"/>
        <w:rPr>
          <w:u w:val="single"/>
        </w:rPr>
      </w:pPr>
      <w:r w:rsidRPr="004004BE">
        <w:rPr>
          <w:u w:val="single"/>
        </w:rPr>
        <w:t>Alumnos</w:t>
      </w:r>
    </w:p>
    <w:p w:rsidR="005C3678" w:rsidRDefault="005C3678" w:rsidP="005C3678">
      <w:pPr>
        <w:ind w:left="567"/>
        <w:rPr>
          <w:u w:val="single"/>
        </w:rPr>
      </w:pPr>
    </w:p>
    <w:p w:rsidR="005C3678" w:rsidRDefault="005C3678" w:rsidP="005C3678">
      <w:pPr>
        <w:ind w:left="567"/>
        <w:jc w:val="both"/>
      </w:pPr>
      <w:r>
        <w:t xml:space="preserve">El campus Macul ofrece 21 licenciaturas, 15 magister y 1 doctorado.  El número total de alumnos incluye todas estas las categorías. </w:t>
      </w:r>
    </w:p>
    <w:p w:rsidR="005C3678" w:rsidRDefault="005C3678" w:rsidP="005C3678">
      <w:pPr>
        <w:ind w:left="567"/>
      </w:pPr>
    </w:p>
    <w:p w:rsidR="005C3678" w:rsidRDefault="005C3678" w:rsidP="005C3678">
      <w:pPr>
        <w:ind w:left="567"/>
        <w:jc w:val="both"/>
      </w:pPr>
      <w:r w:rsidRPr="00D56F1A">
        <w:t xml:space="preserve">El año </w:t>
      </w:r>
      <w:r>
        <w:t>2016 se contabilizan 4.546 alumnos que provienen de 54 comunas.  No obstante ello, sólo 11 comunas explican prácticamente el 60% de los estudiantes como se aprecia en el siguiente cuadro:</w:t>
      </w:r>
    </w:p>
    <w:p w:rsidR="005C3678" w:rsidRDefault="005C3678" w:rsidP="005C3678">
      <w:pPr>
        <w:ind w:left="567"/>
      </w:pPr>
    </w:p>
    <w:p w:rsidR="005C3678" w:rsidRDefault="005C3678" w:rsidP="005C3678">
      <w:pPr>
        <w:ind w:left="567"/>
        <w:jc w:val="center"/>
      </w:pPr>
      <w:r>
        <w:t>Cuadro N° 3</w:t>
      </w:r>
    </w:p>
    <w:p w:rsidR="005C3678" w:rsidRPr="00D56F1A" w:rsidRDefault="005C3678" w:rsidP="005C3678">
      <w:pPr>
        <w:ind w:left="567"/>
        <w:jc w:val="center"/>
      </w:pPr>
      <w:r>
        <w:t xml:space="preserve">Origen de los estudiantes por comuna, para las comunas más significativas (el listado completo en </w:t>
      </w:r>
      <w:r w:rsidRPr="00DC6C8C">
        <w:t>Anexo N° 6.2 origenestudiantes.</w:t>
      </w:r>
      <w:r>
        <w:t>xls)</w:t>
      </w:r>
    </w:p>
    <w:p w:rsidR="005C3678" w:rsidRDefault="005C3678" w:rsidP="005C3678">
      <w:pPr>
        <w:ind w:left="567"/>
        <w:jc w:val="center"/>
      </w:pPr>
    </w:p>
    <w:tbl>
      <w:tblPr>
        <w:tblStyle w:val="Tablaconcuadrcula"/>
        <w:tblW w:w="0" w:type="auto"/>
        <w:tblInd w:w="567" w:type="dxa"/>
        <w:tblLook w:val="04A0" w:firstRow="1" w:lastRow="0" w:firstColumn="1" w:lastColumn="0" w:noHBand="0" w:noVBand="1"/>
      </w:tblPr>
      <w:tblGrid>
        <w:gridCol w:w="2845"/>
        <w:gridCol w:w="2844"/>
        <w:gridCol w:w="2798"/>
      </w:tblGrid>
      <w:tr w:rsidR="005C3678" w:rsidRPr="00E36880" w:rsidTr="005C3678">
        <w:tc>
          <w:tcPr>
            <w:tcW w:w="2845" w:type="dxa"/>
          </w:tcPr>
          <w:p w:rsidR="005C3678" w:rsidRPr="00E36880" w:rsidRDefault="005C3678" w:rsidP="005C3678">
            <w:pPr>
              <w:jc w:val="center"/>
              <w:rPr>
                <w:rFonts w:cstheme="minorHAnsi"/>
                <w:b/>
                <w:sz w:val="18"/>
                <w:szCs w:val="18"/>
              </w:rPr>
            </w:pPr>
            <w:r w:rsidRPr="00E36880">
              <w:rPr>
                <w:rFonts w:cstheme="minorHAnsi"/>
                <w:b/>
                <w:sz w:val="18"/>
                <w:szCs w:val="18"/>
              </w:rPr>
              <w:t>Comuna</w:t>
            </w:r>
          </w:p>
        </w:tc>
        <w:tc>
          <w:tcPr>
            <w:tcW w:w="2844" w:type="dxa"/>
          </w:tcPr>
          <w:p w:rsidR="005C3678" w:rsidRPr="00E36880" w:rsidRDefault="005C3678" w:rsidP="005C3678">
            <w:pPr>
              <w:jc w:val="center"/>
              <w:rPr>
                <w:rFonts w:cstheme="minorHAnsi"/>
                <w:b/>
                <w:sz w:val="18"/>
                <w:szCs w:val="18"/>
              </w:rPr>
            </w:pPr>
            <w:r w:rsidRPr="00E36880">
              <w:rPr>
                <w:rFonts w:cstheme="minorHAnsi"/>
                <w:b/>
                <w:sz w:val="18"/>
                <w:szCs w:val="18"/>
              </w:rPr>
              <w:t>N° estudiantes</w:t>
            </w:r>
          </w:p>
        </w:tc>
        <w:tc>
          <w:tcPr>
            <w:tcW w:w="2798" w:type="dxa"/>
          </w:tcPr>
          <w:p w:rsidR="005C3678" w:rsidRPr="00E36880" w:rsidRDefault="005C3678" w:rsidP="005C3678">
            <w:pPr>
              <w:jc w:val="center"/>
              <w:rPr>
                <w:rFonts w:cstheme="minorHAnsi"/>
                <w:b/>
                <w:sz w:val="18"/>
                <w:szCs w:val="18"/>
              </w:rPr>
            </w:pPr>
            <w:r w:rsidRPr="00E36880">
              <w:rPr>
                <w:rFonts w:cstheme="minorHAnsi"/>
                <w:b/>
                <w:sz w:val="18"/>
                <w:szCs w:val="18"/>
              </w:rPr>
              <w:t>% sobre el total</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Pedro Aguirre C</w:t>
            </w:r>
            <w:r>
              <w:rPr>
                <w:rFonts w:eastAsia="Times New Roman" w:cstheme="minorHAnsi"/>
                <w:color w:val="000000"/>
                <w:sz w:val="18"/>
                <w:szCs w:val="18"/>
                <w:lang w:eastAsia="es-CL"/>
              </w:rPr>
              <w:t>erda</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102</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2,24</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Macul</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115</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2,53</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Peñalolen</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118</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2,60</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Qui</w:t>
            </w:r>
            <w:r>
              <w:rPr>
                <w:rFonts w:eastAsia="Times New Roman" w:cstheme="minorHAnsi"/>
                <w:color w:val="000000"/>
                <w:sz w:val="18"/>
                <w:szCs w:val="18"/>
                <w:lang w:eastAsia="es-CL"/>
              </w:rPr>
              <w:t>l</w:t>
            </w:r>
            <w:r w:rsidRPr="00AA7B2A">
              <w:rPr>
                <w:rFonts w:eastAsia="Times New Roman" w:cstheme="minorHAnsi"/>
                <w:color w:val="000000"/>
                <w:sz w:val="18"/>
                <w:szCs w:val="18"/>
                <w:lang w:eastAsia="es-CL"/>
              </w:rPr>
              <w:t>icura</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128</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2,82</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Pudahuel</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153</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3,37</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San Bernardo</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166</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3,65</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Ñuñoa</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218</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4,80</w:t>
            </w:r>
          </w:p>
        </w:tc>
      </w:tr>
      <w:tr w:rsidR="005C3678" w:rsidRPr="00E36880" w:rsidTr="005C3678">
        <w:tc>
          <w:tcPr>
            <w:tcW w:w="2845" w:type="dxa"/>
          </w:tcPr>
          <w:p w:rsidR="005C3678" w:rsidRPr="00E36880" w:rsidRDefault="005C3678" w:rsidP="005C3678">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Santiago</w:t>
            </w:r>
          </w:p>
        </w:tc>
        <w:tc>
          <w:tcPr>
            <w:tcW w:w="2844" w:type="dxa"/>
          </w:tcPr>
          <w:p w:rsidR="005C3678" w:rsidRPr="00E36880" w:rsidRDefault="005C3678" w:rsidP="005C3678">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221</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4,86</w:t>
            </w:r>
          </w:p>
        </w:tc>
      </w:tr>
      <w:tr w:rsidR="005C3678" w:rsidRPr="00E36880" w:rsidTr="005C3678">
        <w:tc>
          <w:tcPr>
            <w:tcW w:w="2845" w:type="dxa"/>
          </w:tcPr>
          <w:p w:rsidR="005C3678" w:rsidRPr="00E36880" w:rsidRDefault="005C3678" w:rsidP="005C3678">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La florida</w:t>
            </w:r>
          </w:p>
        </w:tc>
        <w:tc>
          <w:tcPr>
            <w:tcW w:w="2844" w:type="dxa"/>
          </w:tcPr>
          <w:p w:rsidR="005C3678" w:rsidRPr="00E36880" w:rsidRDefault="005C3678" w:rsidP="005C3678">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359</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7,90</w:t>
            </w:r>
          </w:p>
        </w:tc>
      </w:tr>
      <w:tr w:rsidR="005C3678" w:rsidRPr="00E36880" w:rsidTr="005C3678">
        <w:tc>
          <w:tcPr>
            <w:tcW w:w="2845" w:type="dxa"/>
          </w:tcPr>
          <w:p w:rsidR="005C3678" w:rsidRPr="00E36880" w:rsidRDefault="005C3678" w:rsidP="005C3678">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Maipú</w:t>
            </w:r>
          </w:p>
        </w:tc>
        <w:tc>
          <w:tcPr>
            <w:tcW w:w="2844" w:type="dxa"/>
          </w:tcPr>
          <w:p w:rsidR="005C3678" w:rsidRPr="00E36880" w:rsidRDefault="005C3678" w:rsidP="005C3678">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553</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12,16</w:t>
            </w:r>
          </w:p>
        </w:tc>
      </w:tr>
      <w:tr w:rsidR="005C3678" w:rsidRPr="00E36880" w:rsidTr="005C3678">
        <w:tc>
          <w:tcPr>
            <w:tcW w:w="2845" w:type="dxa"/>
          </w:tcPr>
          <w:p w:rsidR="005C3678" w:rsidRPr="00E36880" w:rsidRDefault="005C3678" w:rsidP="005C3678">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Puente alto</w:t>
            </w:r>
          </w:p>
        </w:tc>
        <w:tc>
          <w:tcPr>
            <w:tcW w:w="2844" w:type="dxa"/>
          </w:tcPr>
          <w:p w:rsidR="005C3678" w:rsidRPr="00E36880" w:rsidRDefault="005C3678" w:rsidP="005C3678">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577</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12,69</w:t>
            </w:r>
          </w:p>
        </w:tc>
      </w:tr>
      <w:tr w:rsidR="005C3678" w:rsidRPr="00E36880" w:rsidTr="005C3678">
        <w:tc>
          <w:tcPr>
            <w:tcW w:w="2845" w:type="dxa"/>
          </w:tcPr>
          <w:p w:rsidR="005C3678" w:rsidRPr="00E36880" w:rsidRDefault="005C3678" w:rsidP="005C3678">
            <w:pPr>
              <w:jc w:val="center"/>
              <w:rPr>
                <w:rFonts w:eastAsia="Times New Roman" w:cstheme="minorHAnsi"/>
                <w:b/>
                <w:color w:val="000000"/>
                <w:sz w:val="18"/>
                <w:szCs w:val="18"/>
                <w:lang w:eastAsia="es-CL"/>
              </w:rPr>
            </w:pPr>
            <w:r w:rsidRPr="00E36880">
              <w:rPr>
                <w:rFonts w:eastAsia="Times New Roman" w:cstheme="minorHAnsi"/>
                <w:b/>
                <w:color w:val="000000"/>
                <w:sz w:val="18"/>
                <w:szCs w:val="18"/>
                <w:lang w:eastAsia="es-CL"/>
              </w:rPr>
              <w:t>Total</w:t>
            </w:r>
          </w:p>
        </w:tc>
        <w:tc>
          <w:tcPr>
            <w:tcW w:w="2844" w:type="dxa"/>
          </w:tcPr>
          <w:p w:rsidR="005C3678" w:rsidRPr="00E36880" w:rsidRDefault="005C3678" w:rsidP="005C3678">
            <w:pPr>
              <w:jc w:val="center"/>
              <w:rPr>
                <w:rFonts w:eastAsia="Times New Roman" w:cstheme="minorHAnsi"/>
                <w:b/>
                <w:color w:val="000000"/>
                <w:sz w:val="18"/>
                <w:szCs w:val="18"/>
                <w:lang w:eastAsia="es-CL"/>
              </w:rPr>
            </w:pPr>
            <w:r w:rsidRPr="00E36880">
              <w:rPr>
                <w:rFonts w:eastAsia="Times New Roman" w:cstheme="minorHAnsi"/>
                <w:b/>
                <w:color w:val="000000"/>
                <w:sz w:val="18"/>
                <w:szCs w:val="18"/>
                <w:lang w:eastAsia="es-CL"/>
              </w:rPr>
              <w:t>539</w:t>
            </w:r>
          </w:p>
        </w:tc>
        <w:tc>
          <w:tcPr>
            <w:tcW w:w="2798" w:type="dxa"/>
          </w:tcPr>
          <w:p w:rsidR="005C3678" w:rsidRPr="00E36880" w:rsidRDefault="005C3678" w:rsidP="005C3678">
            <w:pPr>
              <w:jc w:val="center"/>
              <w:rPr>
                <w:rFonts w:cstheme="minorHAnsi"/>
                <w:b/>
                <w:sz w:val="18"/>
                <w:szCs w:val="18"/>
              </w:rPr>
            </w:pPr>
            <w:r w:rsidRPr="00E36880">
              <w:rPr>
                <w:rFonts w:cstheme="minorHAnsi"/>
                <w:b/>
                <w:sz w:val="18"/>
                <w:szCs w:val="18"/>
              </w:rPr>
              <w:t>59,61</w:t>
            </w:r>
          </w:p>
        </w:tc>
      </w:tr>
    </w:tbl>
    <w:p w:rsidR="005C3678" w:rsidRDefault="005C3678" w:rsidP="005C3678">
      <w:pPr>
        <w:ind w:left="567"/>
      </w:pPr>
    </w:p>
    <w:p w:rsidR="005C3678" w:rsidRDefault="005C3678" w:rsidP="005C3678">
      <w:pPr>
        <w:ind w:left="567"/>
        <w:jc w:val="both"/>
      </w:pPr>
      <w:r>
        <w:t xml:space="preserve">Utilizando la foto satelital que provee Google Earth y haciendo centro en el campus Macul, al medir la distancia –en línea recta- desde el campus hacia los centros de las respectivas comunas, la distancia promedio de estas 11 comunas, que representan el 60% de los alumnos, es de 16.5 km.  </w:t>
      </w:r>
    </w:p>
    <w:p w:rsidR="005C3678" w:rsidRDefault="005C3678" w:rsidP="005C3678">
      <w:pPr>
        <w:ind w:left="567"/>
        <w:jc w:val="both"/>
      </w:pPr>
    </w:p>
    <w:p w:rsidR="005C3678" w:rsidRDefault="005C3678" w:rsidP="005C3678">
      <w:pPr>
        <w:ind w:left="567"/>
        <w:jc w:val="both"/>
      </w:pPr>
      <w:r>
        <w:t xml:space="preserve">Entendiendo que la distancia no es recta, el </w:t>
      </w:r>
      <w:r w:rsidRPr="00563AA3">
        <w:rPr>
          <w:b/>
          <w:u w:val="single"/>
        </w:rPr>
        <w:t>primer supuesto</w:t>
      </w:r>
      <w:r>
        <w:t xml:space="preserve"> es que cada alumno está a una distancia de 20 km. y, por lo tanto, bajo este supuesto cada alumno recorre 40 km. diarios.</w:t>
      </w:r>
    </w:p>
    <w:p w:rsidR="005C3678" w:rsidRDefault="005C3678" w:rsidP="005C3678">
      <w:pPr>
        <w:ind w:left="567"/>
        <w:jc w:val="both"/>
      </w:pPr>
      <w:r>
        <w:t xml:space="preserve">   </w:t>
      </w:r>
    </w:p>
    <w:p w:rsidR="005C3678" w:rsidRDefault="005C3678" w:rsidP="005C3678">
      <w:pPr>
        <w:ind w:left="567"/>
        <w:jc w:val="both"/>
      </w:pPr>
      <w:r>
        <w:t xml:space="preserve">Un </w:t>
      </w:r>
      <w:r w:rsidRPr="00563AA3">
        <w:rPr>
          <w:b/>
          <w:u w:val="single"/>
        </w:rPr>
        <w:t>segundo supuesto</w:t>
      </w:r>
      <w:r>
        <w:t xml:space="preserve"> que se utiliza para este cálculo es que </w:t>
      </w:r>
      <w:r>
        <w:rPr>
          <w:b/>
        </w:rPr>
        <w:t xml:space="preserve">ningún </w:t>
      </w:r>
      <w:r>
        <w:t>estudiante viaja en automóvil, esto porque si efectivamente llegan alumnos en vehículo son una minoría.</w:t>
      </w:r>
      <w:r>
        <w:rPr>
          <w:rStyle w:val="Refdenotaalpie"/>
        </w:rPr>
        <w:footnoteReference w:id="10"/>
      </w:r>
    </w:p>
    <w:p w:rsidR="005C3678" w:rsidRDefault="005C3678" w:rsidP="005C3678">
      <w:pPr>
        <w:ind w:left="567"/>
        <w:jc w:val="both"/>
      </w:pPr>
    </w:p>
    <w:p w:rsidR="005C3678" w:rsidRDefault="005C3678" w:rsidP="005C3678">
      <w:pPr>
        <w:ind w:left="567"/>
        <w:jc w:val="both"/>
      </w:pPr>
      <w:r>
        <w:t xml:space="preserve">Dado que al lado del campus existe una estación de metro (Metro Grecia), un </w:t>
      </w:r>
      <w:r w:rsidRPr="00563AA3">
        <w:rPr>
          <w:b/>
          <w:u w:val="single"/>
        </w:rPr>
        <w:t>tercer supuesto</w:t>
      </w:r>
      <w:r>
        <w:t xml:space="preserve"> es que una gran cantidad de estudiantes viaja, al menos una parte de su recorrido, en metro y que este medio de movilización compone un 75% del viaje total.</w:t>
      </w:r>
    </w:p>
    <w:p w:rsidR="005C3678" w:rsidRDefault="005C3678" w:rsidP="005C3678">
      <w:pPr>
        <w:ind w:left="567"/>
        <w:jc w:val="both"/>
      </w:pPr>
    </w:p>
    <w:p w:rsidR="005C3678" w:rsidRDefault="005C3678" w:rsidP="005C3678">
      <w:pPr>
        <w:ind w:left="567"/>
        <w:jc w:val="both"/>
      </w:pPr>
      <w:r>
        <w:t xml:space="preserve">De acuerdo a lo que informa la UMCE en su página web, el año lectivo está programado en 17 semanas por semestre, descontadas vacaciones de invierno y fiestas patrias, es decir, son 170 días anuales contando 5 días por semana. El detalle en el cuadro N° 4    </w:t>
      </w:r>
    </w:p>
    <w:p w:rsidR="005C3678" w:rsidRDefault="005C3678" w:rsidP="005C3678">
      <w:pPr>
        <w:ind w:left="567"/>
        <w:jc w:val="both"/>
      </w:pPr>
    </w:p>
    <w:p w:rsidR="005C3678" w:rsidRDefault="005C3678" w:rsidP="005C3678">
      <w:pPr>
        <w:ind w:left="567"/>
        <w:jc w:val="center"/>
      </w:pPr>
      <w:r>
        <w:t>Cuadro N°</w:t>
      </w:r>
    </w:p>
    <w:p w:rsidR="005C3678" w:rsidRDefault="005C3678" w:rsidP="005C3678">
      <w:pPr>
        <w:ind w:left="567"/>
        <w:jc w:val="center"/>
      </w:pPr>
      <w:r>
        <w:t>Jornadas anuales estudiantes, funcionarios y académicos</w:t>
      </w:r>
    </w:p>
    <w:p w:rsidR="005C3678" w:rsidRPr="0043573A" w:rsidRDefault="005C3678" w:rsidP="005C3678">
      <w:pPr>
        <w:shd w:val="clear" w:color="auto" w:fill="FFFFFF"/>
        <w:rPr>
          <w:rFonts w:ascii="Arial" w:eastAsia="Times New Roman" w:hAnsi="Arial" w:cs="Arial"/>
          <w:color w:val="222222"/>
          <w:sz w:val="10"/>
          <w:szCs w:val="10"/>
          <w:lang w:eastAsia="es-CL"/>
        </w:rPr>
      </w:pPr>
    </w:p>
    <w:tbl>
      <w:tblPr>
        <w:tblW w:w="0" w:type="auto"/>
        <w:tblInd w:w="675" w:type="dxa"/>
        <w:tblCellMar>
          <w:left w:w="0" w:type="dxa"/>
          <w:right w:w="0" w:type="dxa"/>
        </w:tblCellMar>
        <w:tblLook w:val="04A0" w:firstRow="1" w:lastRow="0" w:firstColumn="1" w:lastColumn="0" w:noHBand="0" w:noVBand="1"/>
      </w:tblPr>
      <w:tblGrid>
        <w:gridCol w:w="2317"/>
        <w:gridCol w:w="2993"/>
        <w:gridCol w:w="2993"/>
      </w:tblGrid>
      <w:tr w:rsidR="005C3678" w:rsidRPr="0043573A" w:rsidTr="005C3678">
        <w:tc>
          <w:tcPr>
            <w:tcW w:w="2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Docencia Semestral</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17 semanas  por  semestre</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Marzo – Julio / Agosto - Diciembre</w:t>
            </w:r>
          </w:p>
        </w:tc>
      </w:tr>
      <w:tr w:rsidR="005C3678" w:rsidRPr="0043573A" w:rsidTr="005C3678">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Trabajo Académico</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anual</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1 de marzo a 15 de enero</w:t>
            </w:r>
          </w:p>
        </w:tc>
      </w:tr>
      <w:tr w:rsidR="005C3678" w:rsidRPr="0043573A" w:rsidTr="005C3678">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Período Funcionarios</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anual</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1 de marzo a 15 de enero</w:t>
            </w:r>
          </w:p>
        </w:tc>
      </w:tr>
    </w:tbl>
    <w:p w:rsidR="005C3678" w:rsidRPr="0043573A" w:rsidRDefault="005C3678" w:rsidP="005C3678">
      <w:pPr>
        <w:shd w:val="clear" w:color="auto" w:fill="F1F1F1"/>
        <w:spacing w:line="45" w:lineRule="atLeast"/>
        <w:rPr>
          <w:rFonts w:ascii="Arial" w:eastAsia="Times New Roman" w:hAnsi="Arial" w:cs="Arial"/>
          <w:color w:val="222222"/>
          <w:sz w:val="10"/>
          <w:szCs w:val="10"/>
          <w:lang w:eastAsia="es-CL"/>
        </w:rPr>
      </w:pPr>
      <w:r>
        <w:rPr>
          <w:rFonts w:ascii="Arial" w:eastAsia="Times New Roman" w:hAnsi="Arial" w:cs="Arial"/>
          <w:noProof/>
          <w:color w:val="222222"/>
          <w:sz w:val="10"/>
          <w:szCs w:val="10"/>
          <w:lang w:val="es-ES" w:eastAsia="es-ES"/>
        </w:rPr>
        <w:drawing>
          <wp:inline distT="0" distB="0" distL="0" distR="0" wp14:anchorId="53BEEDEC" wp14:editId="5EBA57C4">
            <wp:extent cx="9525" cy="9525"/>
            <wp:effectExtent l="0" t="0" r="0" b="0"/>
            <wp:docPr id="6"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C3678" w:rsidRDefault="005C3678" w:rsidP="005C3678">
      <w:pPr>
        <w:jc w:val="both"/>
      </w:pPr>
    </w:p>
    <w:p w:rsidR="005C3678" w:rsidRDefault="005C3678" w:rsidP="005C3678">
      <w:pPr>
        <w:ind w:left="567"/>
        <w:jc w:val="both"/>
      </w:pPr>
      <w:r w:rsidRPr="00E65880">
        <w:rPr>
          <w:b/>
          <w:u w:val="single"/>
        </w:rPr>
        <w:t>El cuarto supuesto</w:t>
      </w:r>
      <w:r>
        <w:t xml:space="preserve"> es que dado que existen cursos de magister y doctorado, y también que en los cursos superiores –o los alumnos que repitieron algún ramo- no van todos los días al campus, se estima que los alumnos van al campus 3,5 veces por semana como promedio anual, por lo tanto, son 119 viajes anuales por persona (34 semanas * 3,5 veces).    </w:t>
      </w:r>
    </w:p>
    <w:p w:rsidR="005C3678" w:rsidRDefault="005C3678" w:rsidP="005C3678">
      <w:pPr>
        <w:ind w:left="567"/>
        <w:jc w:val="both"/>
      </w:pPr>
    </w:p>
    <w:p w:rsidR="005C3678" w:rsidRDefault="005C3678" w:rsidP="005C3678">
      <w:pPr>
        <w:ind w:left="567"/>
        <w:jc w:val="both"/>
      </w:pPr>
      <w:r>
        <w:t>Sabemos, rescatando la experiencia de los auxiliares administrativos (jardineros, porteros, etc.) que son alrededor de 100 personas diarias las que viajan en bicicleta y, por lo tanto deben descontarse del universo total.</w:t>
      </w:r>
    </w:p>
    <w:p w:rsidR="005C3678" w:rsidRDefault="005C3678" w:rsidP="005C3678">
      <w:pPr>
        <w:ind w:left="567"/>
        <w:jc w:val="both"/>
      </w:pPr>
    </w:p>
    <w:p w:rsidR="005C3678" w:rsidRDefault="005C3678" w:rsidP="005C3678">
      <w:pPr>
        <w:ind w:left="567"/>
        <w:jc w:val="both"/>
      </w:pPr>
      <w:r>
        <w:t xml:space="preserve">Los parámetros para realizar el cálculo según “green house protocol” son: </w:t>
      </w:r>
    </w:p>
    <w:p w:rsidR="005C3678" w:rsidRDefault="005C3678" w:rsidP="005C3678">
      <w:pPr>
        <w:ind w:left="567"/>
        <w:jc w:val="both"/>
      </w:pPr>
    </w:p>
    <w:p w:rsidR="005C3678" w:rsidRDefault="005C3678" w:rsidP="005C3678">
      <w:pPr>
        <w:pStyle w:val="Prrafodelista"/>
        <w:numPr>
          <w:ilvl w:val="0"/>
          <w:numId w:val="3"/>
        </w:numPr>
        <w:ind w:left="927"/>
        <w:jc w:val="both"/>
      </w:pPr>
      <w:r>
        <w:t>Huella carbono metro= 0,03</w:t>
      </w:r>
      <w:r w:rsidRPr="004602CB">
        <w:t xml:space="preserve"> </w:t>
      </w:r>
      <w:r>
        <w:t>Co</w:t>
      </w:r>
      <w:r w:rsidRPr="007F61D2">
        <w:rPr>
          <w:vertAlign w:val="superscript"/>
        </w:rPr>
        <w:t>2</w:t>
      </w:r>
      <w:r>
        <w:t xml:space="preserve"> eq kg por kilómetro</w:t>
      </w:r>
    </w:p>
    <w:p w:rsidR="005C3678" w:rsidRDefault="005C3678" w:rsidP="005C3678">
      <w:pPr>
        <w:pStyle w:val="Prrafodelista"/>
        <w:numPr>
          <w:ilvl w:val="0"/>
          <w:numId w:val="3"/>
        </w:numPr>
        <w:ind w:left="927"/>
        <w:jc w:val="both"/>
      </w:pPr>
      <w:r>
        <w:t>Huella carbono bus = 0,06 kg Co</w:t>
      </w:r>
      <w:r w:rsidRPr="007F61D2">
        <w:rPr>
          <w:vertAlign w:val="superscript"/>
        </w:rPr>
        <w:t xml:space="preserve">2 </w:t>
      </w:r>
      <w:r>
        <w:t>eq por kilómetro</w:t>
      </w:r>
    </w:p>
    <w:p w:rsidR="005C3678" w:rsidRDefault="005C3678" w:rsidP="005C3678">
      <w:pPr>
        <w:pStyle w:val="Prrafodelista"/>
        <w:numPr>
          <w:ilvl w:val="0"/>
          <w:numId w:val="3"/>
        </w:numPr>
        <w:ind w:left="927"/>
        <w:jc w:val="both"/>
      </w:pPr>
      <w:r>
        <w:t>Huella carbono auto = 0,19 kg Co</w:t>
      </w:r>
      <w:r w:rsidRPr="007F61D2">
        <w:rPr>
          <w:vertAlign w:val="superscript"/>
        </w:rPr>
        <w:t xml:space="preserve">2 </w:t>
      </w:r>
      <w:r>
        <w:t>eq por kilómetro</w:t>
      </w:r>
    </w:p>
    <w:p w:rsidR="005C3678" w:rsidRDefault="005C3678" w:rsidP="005C3678">
      <w:pPr>
        <w:ind w:left="774" w:firstLine="90"/>
        <w:jc w:val="both"/>
      </w:pPr>
    </w:p>
    <w:p w:rsidR="005C3678" w:rsidRDefault="005C3678" w:rsidP="005C3678">
      <w:pPr>
        <w:ind w:left="567"/>
        <w:jc w:val="both"/>
      </w:pPr>
      <w:r>
        <w:t>Estimación huella de carbono derivada de viajes de alumnos:</w:t>
      </w:r>
    </w:p>
    <w:p w:rsidR="005C3678" w:rsidRDefault="005C3678" w:rsidP="005C3678">
      <w:pPr>
        <w:ind w:left="567"/>
        <w:jc w:val="both"/>
      </w:pPr>
    </w:p>
    <w:p w:rsidR="005C3678" w:rsidRDefault="005C3678" w:rsidP="005C3678">
      <w:pPr>
        <w:ind w:left="3969" w:hanging="3402"/>
        <w:jc w:val="both"/>
      </w:pPr>
      <w:r>
        <w:t>Universo:</w:t>
      </w:r>
      <w:r>
        <w:tab/>
        <w:t>4.546 alumnos</w:t>
      </w:r>
    </w:p>
    <w:p w:rsidR="005C3678" w:rsidRDefault="005C3678" w:rsidP="005C3678">
      <w:pPr>
        <w:ind w:left="3969" w:hanging="3402"/>
        <w:jc w:val="both"/>
      </w:pPr>
      <w:r>
        <w:t>Restando bicicleta:</w:t>
      </w:r>
      <w:r>
        <w:tab/>
        <w:t>4.446 alumnos</w:t>
      </w:r>
    </w:p>
    <w:p w:rsidR="005C3678" w:rsidRDefault="005C3678" w:rsidP="005C3678">
      <w:pPr>
        <w:ind w:left="3969" w:hanging="3402"/>
        <w:jc w:val="both"/>
      </w:pPr>
      <w:r>
        <w:t>Recorrido promedio diario:</w:t>
      </w:r>
      <w:r>
        <w:tab/>
        <w:t>40 km</w:t>
      </w:r>
    </w:p>
    <w:p w:rsidR="005C3678" w:rsidRDefault="005C3678" w:rsidP="005C3678">
      <w:pPr>
        <w:ind w:left="3969" w:hanging="3402"/>
        <w:jc w:val="both"/>
      </w:pPr>
      <w:r>
        <w:t>Recorrido bus:</w:t>
      </w:r>
      <w:r>
        <w:tab/>
        <w:t xml:space="preserve">10 km </w:t>
      </w:r>
    </w:p>
    <w:p w:rsidR="005C3678" w:rsidRDefault="005C3678" w:rsidP="005C3678">
      <w:pPr>
        <w:ind w:left="3969" w:hanging="3402"/>
        <w:jc w:val="both"/>
      </w:pPr>
      <w:r>
        <w:t>Recorrido metro:</w:t>
      </w:r>
      <w:r>
        <w:tab/>
        <w:t>30 km</w:t>
      </w:r>
    </w:p>
    <w:p w:rsidR="005C3678" w:rsidRDefault="005C3678" w:rsidP="005C3678">
      <w:pPr>
        <w:ind w:left="3969" w:hanging="3402"/>
        <w:jc w:val="both"/>
      </w:pPr>
      <w:r>
        <w:t>Automóvil:</w:t>
      </w:r>
      <w:r>
        <w:tab/>
        <w:t xml:space="preserve">no hay. </w:t>
      </w:r>
      <w:r>
        <w:tab/>
        <w:t xml:space="preserve"> </w:t>
      </w:r>
    </w:p>
    <w:p w:rsidR="005C3678" w:rsidRDefault="005C3678" w:rsidP="005C3678">
      <w:pPr>
        <w:ind w:left="3969" w:hanging="3402"/>
        <w:jc w:val="both"/>
      </w:pPr>
    </w:p>
    <w:p w:rsidR="005C3678" w:rsidRDefault="005C3678" w:rsidP="005C3678">
      <w:pPr>
        <w:ind w:left="3969" w:hanging="3402"/>
        <w:jc w:val="both"/>
      </w:pPr>
      <w:r>
        <w:t>Huella carbono bus persona día:</w:t>
      </w:r>
      <w:r>
        <w:tab/>
        <w:t>0,6 kg.</w:t>
      </w:r>
    </w:p>
    <w:p w:rsidR="005C3678" w:rsidRDefault="005C3678" w:rsidP="005C3678">
      <w:pPr>
        <w:ind w:left="3969" w:hanging="3402"/>
        <w:jc w:val="both"/>
      </w:pPr>
      <w:r>
        <w:t>Huella carbono metro persona día:</w:t>
      </w:r>
      <w:r>
        <w:tab/>
        <w:t>0,9 kg</w:t>
      </w:r>
    </w:p>
    <w:p w:rsidR="005C3678" w:rsidRDefault="005C3678" w:rsidP="005C3678">
      <w:pPr>
        <w:ind w:left="3969" w:hanging="3402"/>
        <w:jc w:val="both"/>
      </w:pPr>
      <w:r>
        <w:t>Huella carbono vehículo día:</w:t>
      </w:r>
      <w:r>
        <w:tab/>
        <w:t xml:space="preserve">7,6 kg </w:t>
      </w:r>
    </w:p>
    <w:p w:rsidR="005C3678" w:rsidRDefault="005C3678" w:rsidP="005C3678">
      <w:pPr>
        <w:ind w:left="3969" w:hanging="3402"/>
        <w:jc w:val="both"/>
      </w:pPr>
    </w:p>
    <w:p w:rsidR="005C3678" w:rsidRDefault="005C3678" w:rsidP="005C3678">
      <w:pPr>
        <w:ind w:left="3969" w:hanging="3402"/>
        <w:jc w:val="both"/>
      </w:pPr>
      <w:r>
        <w:t>Huella carbono año/alumno:</w:t>
      </w:r>
      <w:r>
        <w:tab/>
        <w:t>178,5 kg (0.9+0.6*119)</w:t>
      </w:r>
    </w:p>
    <w:p w:rsidR="005C3678" w:rsidRDefault="005C3678" w:rsidP="005C3678">
      <w:pPr>
        <w:ind w:left="3969" w:hanging="3402"/>
        <w:jc w:val="both"/>
        <w:rPr>
          <w:b/>
          <w:u w:val="single"/>
        </w:rPr>
      </w:pPr>
    </w:p>
    <w:p w:rsidR="005C3678" w:rsidRPr="00C50064" w:rsidRDefault="005C3678" w:rsidP="005C3678">
      <w:pPr>
        <w:ind w:left="3969" w:hanging="3402"/>
        <w:jc w:val="both"/>
        <w:rPr>
          <w:b/>
          <w:u w:val="single"/>
        </w:rPr>
      </w:pPr>
      <w:r w:rsidRPr="00C50064">
        <w:rPr>
          <w:b/>
          <w:u w:val="single"/>
        </w:rPr>
        <w:t xml:space="preserve">Huella carbono </w:t>
      </w:r>
      <w:r>
        <w:rPr>
          <w:b/>
          <w:u w:val="single"/>
        </w:rPr>
        <w:t>total/</w:t>
      </w:r>
      <w:r w:rsidRPr="00C50064">
        <w:rPr>
          <w:b/>
          <w:u w:val="single"/>
        </w:rPr>
        <w:t>año</w:t>
      </w:r>
      <w:r>
        <w:rPr>
          <w:b/>
          <w:u w:val="single"/>
        </w:rPr>
        <w:t>/</w:t>
      </w:r>
      <w:r w:rsidRPr="00C50064">
        <w:rPr>
          <w:b/>
          <w:u w:val="single"/>
        </w:rPr>
        <w:t>alumn</w:t>
      </w:r>
      <w:r>
        <w:rPr>
          <w:b/>
          <w:u w:val="single"/>
        </w:rPr>
        <w:t>os</w:t>
      </w:r>
      <w:r w:rsidRPr="00C50064">
        <w:rPr>
          <w:b/>
          <w:u w:val="single"/>
        </w:rPr>
        <w:t>:</w:t>
      </w:r>
      <w:r w:rsidRPr="00C50064">
        <w:rPr>
          <w:b/>
        </w:rPr>
        <w:tab/>
      </w:r>
      <w:r w:rsidRPr="0043573A">
        <w:rPr>
          <w:b/>
          <w:u w:val="single"/>
        </w:rPr>
        <w:t>793.611</w:t>
      </w:r>
      <w:r w:rsidRPr="00C50064">
        <w:rPr>
          <w:b/>
          <w:u w:val="single"/>
        </w:rPr>
        <w:t xml:space="preserve"> kg año ó </w:t>
      </w:r>
      <w:r>
        <w:rPr>
          <w:b/>
          <w:u w:val="single"/>
        </w:rPr>
        <w:t>793,611</w:t>
      </w:r>
      <w:r w:rsidRPr="00C50064">
        <w:rPr>
          <w:b/>
          <w:u w:val="single"/>
        </w:rPr>
        <w:t xml:space="preserve"> tons. Co</w:t>
      </w:r>
      <w:r w:rsidRPr="00C50064">
        <w:rPr>
          <w:b/>
          <w:u w:val="single"/>
          <w:vertAlign w:val="superscript"/>
        </w:rPr>
        <w:t>2</w:t>
      </w:r>
      <w:r w:rsidRPr="00C50064">
        <w:rPr>
          <w:b/>
          <w:u w:val="single"/>
        </w:rPr>
        <w:t xml:space="preserve">  año.</w:t>
      </w:r>
    </w:p>
    <w:p w:rsidR="005C3678" w:rsidRDefault="005C3678" w:rsidP="005C3678">
      <w:pPr>
        <w:ind w:left="3969" w:hanging="3402"/>
        <w:jc w:val="both"/>
      </w:pPr>
    </w:p>
    <w:p w:rsidR="005C3678" w:rsidRPr="008524C8" w:rsidRDefault="005C3678" w:rsidP="005C3678">
      <w:pPr>
        <w:ind w:left="3969" w:hanging="3402"/>
        <w:jc w:val="both"/>
        <w:rPr>
          <w:u w:val="single"/>
        </w:rPr>
      </w:pPr>
      <w:r w:rsidRPr="008524C8">
        <w:rPr>
          <w:u w:val="single"/>
        </w:rPr>
        <w:t>Funcionarios</w:t>
      </w:r>
    </w:p>
    <w:p w:rsidR="005C3678" w:rsidRDefault="005C3678" w:rsidP="005C3678">
      <w:pPr>
        <w:ind w:left="3969" w:hanging="3402"/>
        <w:jc w:val="both"/>
      </w:pPr>
    </w:p>
    <w:p w:rsidR="005C3678" w:rsidRDefault="005C3678" w:rsidP="005C3678">
      <w:pPr>
        <w:ind w:left="567"/>
        <w:jc w:val="both"/>
      </w:pPr>
      <w:r>
        <w:t>Como se ha señalado en la tabla N° 1, existen 420 funcionarios.  Se utilizan los mismos supuestos que para los alumnos respecto de distancia y medio de movilización, sin embargo, se supone que la mitad del parque automotriz pertenece a los funcionarios</w:t>
      </w:r>
      <w:r>
        <w:rPr>
          <w:rStyle w:val="Refdenotaalpie"/>
        </w:rPr>
        <w:footnoteReference w:id="11"/>
      </w:r>
    </w:p>
    <w:p w:rsidR="005C3678" w:rsidRDefault="005C3678" w:rsidP="005C3678">
      <w:pPr>
        <w:ind w:left="3969" w:hanging="3402"/>
        <w:jc w:val="both"/>
      </w:pPr>
    </w:p>
    <w:p w:rsidR="005C3678" w:rsidRDefault="005C3678" w:rsidP="005C3678">
      <w:pPr>
        <w:ind w:left="3969" w:hanging="3402"/>
        <w:jc w:val="both"/>
      </w:pPr>
      <w:r>
        <w:t>Días de asistencia año:</w:t>
      </w:r>
      <w:r>
        <w:tab/>
        <w:t>230 (46 semanas * 5 días semana)</w:t>
      </w:r>
    </w:p>
    <w:p w:rsidR="005C3678" w:rsidRDefault="005C3678" w:rsidP="005C3678">
      <w:pPr>
        <w:ind w:left="3969" w:hanging="3402"/>
        <w:jc w:val="both"/>
      </w:pPr>
      <w:r>
        <w:t>Supuesto:</w:t>
      </w:r>
      <w:r>
        <w:tab/>
        <w:t>todos los funcionarios asisten todos los días</w:t>
      </w:r>
    </w:p>
    <w:p w:rsidR="005C3678" w:rsidRDefault="005C3678" w:rsidP="005C3678">
      <w:pPr>
        <w:ind w:left="3969" w:hanging="3402"/>
        <w:jc w:val="both"/>
      </w:pPr>
      <w:r>
        <w:t>Huella carbono funcionario/año:</w:t>
      </w:r>
      <w:r>
        <w:tab/>
        <w:t xml:space="preserve">345 kg </w:t>
      </w:r>
      <w:r w:rsidRPr="008F611D">
        <w:t>Co</w:t>
      </w:r>
      <w:r w:rsidRPr="008F611D">
        <w:rPr>
          <w:vertAlign w:val="superscript"/>
        </w:rPr>
        <w:t>2</w:t>
      </w:r>
      <w:r w:rsidRPr="008F611D">
        <w:t xml:space="preserve"> </w:t>
      </w:r>
      <w:r>
        <w:t>año</w:t>
      </w:r>
      <w:r w:rsidRPr="008F611D">
        <w:t xml:space="preserve"> </w:t>
      </w:r>
      <w:r>
        <w:t>(0.9+0.6*230)  para bus y metro</w:t>
      </w:r>
    </w:p>
    <w:p w:rsidR="005C3678" w:rsidRDefault="005C3678" w:rsidP="005C3678">
      <w:pPr>
        <w:ind w:left="3969" w:hanging="3402"/>
        <w:jc w:val="both"/>
      </w:pPr>
      <w:r>
        <w:t>Huella carbono funcionario/año:</w:t>
      </w:r>
      <w:r>
        <w:tab/>
        <w:t xml:space="preserve">1.748 kg </w:t>
      </w:r>
      <w:r w:rsidRPr="008F611D">
        <w:t>Co</w:t>
      </w:r>
      <w:r w:rsidRPr="008F611D">
        <w:rPr>
          <w:vertAlign w:val="superscript"/>
        </w:rPr>
        <w:t>2</w:t>
      </w:r>
      <w:r w:rsidRPr="008F611D">
        <w:t xml:space="preserve"> </w:t>
      </w:r>
      <w:r>
        <w:t>año</w:t>
      </w:r>
      <w:r w:rsidRPr="008F611D">
        <w:t xml:space="preserve"> </w:t>
      </w:r>
      <w:r>
        <w:t>(0.19*230)  para vehículo</w:t>
      </w:r>
    </w:p>
    <w:p w:rsidR="005C3678" w:rsidRDefault="005C3678" w:rsidP="005C3678">
      <w:pPr>
        <w:ind w:left="3969" w:hanging="3402"/>
        <w:jc w:val="both"/>
      </w:pPr>
      <w:r>
        <w:t>Supuesto:</w:t>
      </w:r>
      <w:r>
        <w:tab/>
        <w:t xml:space="preserve">279 funcionarios usan bus y metro diariamente (96,255 tons  </w:t>
      </w:r>
      <w:r w:rsidRPr="008F611D">
        <w:t>Co</w:t>
      </w:r>
      <w:r w:rsidRPr="008F611D">
        <w:rPr>
          <w:vertAlign w:val="superscript"/>
        </w:rPr>
        <w:t>2</w:t>
      </w:r>
      <w:r w:rsidRPr="008F611D">
        <w:t xml:space="preserve"> </w:t>
      </w:r>
      <w:r>
        <w:t>año)</w:t>
      </w:r>
    </w:p>
    <w:p w:rsidR="005C3678" w:rsidRDefault="005C3678" w:rsidP="005C3678">
      <w:pPr>
        <w:ind w:left="3969" w:hanging="3402"/>
        <w:jc w:val="both"/>
      </w:pPr>
      <w:r>
        <w:t xml:space="preserve">Supuesto: </w:t>
      </w:r>
      <w:r>
        <w:tab/>
        <w:t xml:space="preserve">141 funcionarios usan automóvil diariamente (246,47 tons  </w:t>
      </w:r>
      <w:r w:rsidRPr="008F611D">
        <w:t>Co</w:t>
      </w:r>
      <w:r w:rsidRPr="008F611D">
        <w:rPr>
          <w:vertAlign w:val="superscript"/>
        </w:rPr>
        <w:t>2</w:t>
      </w:r>
      <w:r w:rsidRPr="008F611D">
        <w:t xml:space="preserve"> </w:t>
      </w:r>
      <w:r>
        <w:t>año)</w:t>
      </w:r>
    </w:p>
    <w:p w:rsidR="005C3678" w:rsidRDefault="005C3678" w:rsidP="005C3678">
      <w:pPr>
        <w:jc w:val="both"/>
        <w:rPr>
          <w:b/>
          <w:u w:val="single"/>
        </w:rPr>
      </w:pPr>
    </w:p>
    <w:p w:rsidR="005C3678" w:rsidRPr="00C50064" w:rsidRDefault="005C3678" w:rsidP="005C3678">
      <w:pPr>
        <w:ind w:left="3969" w:hanging="3402"/>
        <w:jc w:val="both"/>
        <w:rPr>
          <w:b/>
          <w:u w:val="single"/>
        </w:rPr>
      </w:pPr>
      <w:r w:rsidRPr="00C50064">
        <w:rPr>
          <w:b/>
          <w:u w:val="single"/>
        </w:rPr>
        <w:t>Huella carbono año</w:t>
      </w:r>
      <w:r>
        <w:rPr>
          <w:b/>
          <w:u w:val="single"/>
        </w:rPr>
        <w:t>/funcionarios</w:t>
      </w:r>
      <w:r>
        <w:rPr>
          <w:rStyle w:val="Refdenotaalpie"/>
          <w:b/>
          <w:u w:val="single"/>
        </w:rPr>
        <w:footnoteReference w:id="12"/>
      </w:r>
      <w:r w:rsidRPr="00C50064">
        <w:rPr>
          <w:b/>
          <w:u w:val="single"/>
        </w:rPr>
        <w:t>:</w:t>
      </w:r>
      <w:r w:rsidRPr="00C50064">
        <w:rPr>
          <w:b/>
        </w:rPr>
        <w:tab/>
      </w:r>
      <w:r>
        <w:rPr>
          <w:b/>
          <w:u w:val="single"/>
        </w:rPr>
        <w:t>342.723</w:t>
      </w:r>
      <w:r w:rsidRPr="00C50064">
        <w:rPr>
          <w:b/>
          <w:u w:val="single"/>
        </w:rPr>
        <w:t xml:space="preserve"> kg año ó </w:t>
      </w:r>
      <w:r>
        <w:rPr>
          <w:b/>
          <w:u w:val="single"/>
        </w:rPr>
        <w:t>342,723</w:t>
      </w:r>
      <w:r w:rsidRPr="00C50064">
        <w:rPr>
          <w:b/>
          <w:u w:val="single"/>
        </w:rPr>
        <w:t xml:space="preserve"> tons. Co</w:t>
      </w:r>
      <w:r w:rsidRPr="00C50064">
        <w:rPr>
          <w:b/>
          <w:u w:val="single"/>
          <w:vertAlign w:val="superscript"/>
        </w:rPr>
        <w:t>2</w:t>
      </w:r>
      <w:r w:rsidRPr="00C50064">
        <w:rPr>
          <w:b/>
          <w:u w:val="single"/>
        </w:rPr>
        <w:t xml:space="preserve">  año.</w:t>
      </w:r>
    </w:p>
    <w:p w:rsidR="005C3678" w:rsidRDefault="005C3678" w:rsidP="005C3678">
      <w:pPr>
        <w:ind w:left="3969" w:hanging="3402"/>
        <w:jc w:val="both"/>
        <w:rPr>
          <w:b/>
          <w:u w:val="single"/>
        </w:rPr>
      </w:pPr>
    </w:p>
    <w:p w:rsidR="005C3678" w:rsidRPr="008524C8" w:rsidRDefault="005C3678" w:rsidP="005C3678">
      <w:pPr>
        <w:ind w:left="3969" w:hanging="3402"/>
        <w:jc w:val="both"/>
        <w:rPr>
          <w:u w:val="single"/>
        </w:rPr>
      </w:pPr>
      <w:r w:rsidRPr="008524C8">
        <w:rPr>
          <w:u w:val="single"/>
        </w:rPr>
        <w:t>Docentes</w:t>
      </w:r>
    </w:p>
    <w:p w:rsidR="005C3678" w:rsidRDefault="005C3678" w:rsidP="005C3678">
      <w:pPr>
        <w:ind w:left="3969" w:hanging="3402"/>
        <w:jc w:val="both"/>
      </w:pPr>
    </w:p>
    <w:p w:rsidR="005C3678" w:rsidRDefault="005C3678" w:rsidP="005C3678">
      <w:pPr>
        <w:ind w:left="3969" w:hanging="3402"/>
        <w:jc w:val="both"/>
      </w:pPr>
      <w:r>
        <w:t>Número total de docentes:</w:t>
      </w:r>
      <w:r>
        <w:tab/>
        <w:t>505</w:t>
      </w:r>
    </w:p>
    <w:p w:rsidR="005C3678" w:rsidRDefault="005C3678" w:rsidP="005C3678">
      <w:pPr>
        <w:ind w:left="3969" w:hanging="3402"/>
        <w:jc w:val="both"/>
      </w:pPr>
      <w:r>
        <w:t>Docentes con mas de 22 hrs.(1)</w:t>
      </w:r>
      <w:r>
        <w:tab/>
        <w:t>336 (asisten 5 días a la semana)</w:t>
      </w:r>
    </w:p>
    <w:p w:rsidR="005C3678" w:rsidRDefault="005C3678" w:rsidP="005C3678">
      <w:pPr>
        <w:ind w:left="3969" w:hanging="3402"/>
        <w:jc w:val="both"/>
      </w:pPr>
      <w:r>
        <w:t>Docentes con menos de 22 hrs.(2)</w:t>
      </w:r>
      <w:r>
        <w:tab/>
        <w:t>169 (asisten 3 días a la semana)</w:t>
      </w:r>
    </w:p>
    <w:p w:rsidR="005C3678" w:rsidRDefault="005C3678" w:rsidP="005C3678">
      <w:pPr>
        <w:ind w:left="3969" w:hanging="3402"/>
        <w:jc w:val="both"/>
      </w:pPr>
    </w:p>
    <w:p w:rsidR="005C3678" w:rsidRDefault="005C3678" w:rsidP="005C3678">
      <w:pPr>
        <w:ind w:left="3969" w:hanging="3402"/>
        <w:jc w:val="both"/>
      </w:pPr>
      <w:r>
        <w:t>Días de asistencia año &gt;22 hrs:</w:t>
      </w:r>
      <w:r>
        <w:tab/>
        <w:t>230 (46 semanas * 5 días semana)</w:t>
      </w:r>
    </w:p>
    <w:p w:rsidR="005C3678" w:rsidRDefault="005C3678" w:rsidP="005C3678">
      <w:pPr>
        <w:ind w:left="3969" w:hanging="3402"/>
        <w:jc w:val="both"/>
      </w:pPr>
      <w:r>
        <w:t>Días de asistencia año &lt;22 hrs:</w:t>
      </w:r>
      <w:r>
        <w:tab/>
        <w:t>138 (46 semanas * 3 días semana)</w:t>
      </w:r>
    </w:p>
    <w:p w:rsidR="005C3678" w:rsidRDefault="005C3678" w:rsidP="005C3678">
      <w:pPr>
        <w:ind w:left="3969" w:hanging="3402"/>
        <w:jc w:val="both"/>
      </w:pPr>
      <w:r>
        <w:t>Supuesto:</w:t>
      </w:r>
      <w:r>
        <w:tab/>
        <w:t xml:space="preserve">364 académicos usan bus y metro </w:t>
      </w:r>
    </w:p>
    <w:p w:rsidR="005C3678" w:rsidRDefault="005C3678" w:rsidP="005C3678">
      <w:pPr>
        <w:ind w:left="3969" w:hanging="3402"/>
        <w:jc w:val="both"/>
      </w:pPr>
      <w:r>
        <w:t>Supuesto (3):</w:t>
      </w:r>
      <w:r>
        <w:tab/>
        <w:t>71 académicos de jornada completa usan vehículo.</w:t>
      </w:r>
    </w:p>
    <w:p w:rsidR="005C3678" w:rsidRDefault="005C3678" w:rsidP="005C3678">
      <w:pPr>
        <w:ind w:left="3969" w:hanging="3402"/>
        <w:jc w:val="both"/>
      </w:pPr>
      <w:r>
        <w:t>Supuesto (4)</w:t>
      </w:r>
      <w:r>
        <w:tab/>
        <w:t>70 académicos de jornada parcial usan vehículo.</w:t>
      </w:r>
    </w:p>
    <w:p w:rsidR="005C3678" w:rsidRPr="003E5FC4" w:rsidRDefault="005C3678" w:rsidP="005C3678">
      <w:pPr>
        <w:ind w:left="3969" w:hanging="3402"/>
        <w:jc w:val="both"/>
      </w:pPr>
      <w:r w:rsidRPr="003E5FC4">
        <w:t>Huella Co2 académico año:</w:t>
      </w:r>
      <w:r w:rsidRPr="003E5FC4">
        <w:tab/>
        <w:t>345 kg Co</w:t>
      </w:r>
      <w:r w:rsidRPr="003E5FC4">
        <w:rPr>
          <w:vertAlign w:val="superscript"/>
        </w:rPr>
        <w:t>2</w:t>
      </w:r>
      <w:r w:rsidRPr="003E5FC4">
        <w:t xml:space="preserve"> año (0.9+0.6*230)  para bus y metro</w:t>
      </w:r>
    </w:p>
    <w:p w:rsidR="005C3678" w:rsidRPr="003E5FC4" w:rsidRDefault="005C3678" w:rsidP="005C3678">
      <w:pPr>
        <w:ind w:left="3969" w:hanging="3402"/>
        <w:jc w:val="both"/>
      </w:pPr>
      <w:r w:rsidRPr="003E5FC4">
        <w:t>Huella Co2 académico año:</w:t>
      </w:r>
      <w:r w:rsidRPr="003E5FC4">
        <w:tab/>
        <w:t>1.748 kg Co</w:t>
      </w:r>
      <w:r w:rsidRPr="003E5FC4">
        <w:rPr>
          <w:vertAlign w:val="superscript"/>
        </w:rPr>
        <w:t>2</w:t>
      </w:r>
      <w:r w:rsidRPr="003E5FC4">
        <w:t xml:space="preserve"> año (0.19*230)  para vehículo</w:t>
      </w:r>
    </w:p>
    <w:p w:rsidR="005C3678" w:rsidRPr="003E5FC4" w:rsidRDefault="005C3678" w:rsidP="005C3678">
      <w:pPr>
        <w:ind w:left="3969" w:hanging="3402"/>
        <w:jc w:val="both"/>
      </w:pPr>
      <w:r w:rsidRPr="003E5FC4">
        <w:t>Huella Co2 académico total (1):</w:t>
      </w:r>
      <w:r w:rsidRPr="003E5FC4">
        <w:tab/>
        <w:t>91.425 kg Co</w:t>
      </w:r>
      <w:r w:rsidRPr="003E5FC4">
        <w:rPr>
          <w:vertAlign w:val="superscript"/>
        </w:rPr>
        <w:t>2</w:t>
      </w:r>
      <w:r w:rsidRPr="003E5FC4">
        <w:t xml:space="preserve"> año (364*345)  para bus y metro (336-71)</w:t>
      </w:r>
    </w:p>
    <w:p w:rsidR="005C3678" w:rsidRPr="003E5FC4" w:rsidRDefault="005C3678" w:rsidP="005C3678">
      <w:pPr>
        <w:ind w:left="3969" w:hanging="3402"/>
        <w:jc w:val="both"/>
      </w:pPr>
      <w:r w:rsidRPr="003E5FC4">
        <w:t>Huella Co2 académico año (2):</w:t>
      </w:r>
      <w:r w:rsidRPr="003E5FC4">
        <w:tab/>
        <w:t>34.155 kg Co</w:t>
      </w:r>
      <w:r w:rsidRPr="003E5FC4">
        <w:rPr>
          <w:vertAlign w:val="superscript"/>
        </w:rPr>
        <w:t>2</w:t>
      </w:r>
      <w:r w:rsidRPr="003E5FC4">
        <w:t xml:space="preserve"> año (0.9+0.6*230)  para bus y metro (169-70)</w:t>
      </w:r>
    </w:p>
    <w:p w:rsidR="005C3678" w:rsidRPr="003E5FC4" w:rsidRDefault="005C3678" w:rsidP="005C3678">
      <w:pPr>
        <w:ind w:left="3969" w:hanging="3402"/>
        <w:jc w:val="both"/>
      </w:pPr>
      <w:r w:rsidRPr="003E5FC4">
        <w:t>Huella Co2 académico año (1):</w:t>
      </w:r>
      <w:r w:rsidRPr="003E5FC4">
        <w:tab/>
        <w:t>124.108 kg Co</w:t>
      </w:r>
      <w:r w:rsidRPr="003E5FC4">
        <w:rPr>
          <w:vertAlign w:val="superscript"/>
        </w:rPr>
        <w:t>2</w:t>
      </w:r>
      <w:r w:rsidRPr="003E5FC4">
        <w:t xml:space="preserve"> año (0.9+0.6*230)  para vehículo</w:t>
      </w:r>
    </w:p>
    <w:p w:rsidR="005C3678" w:rsidRPr="003E5FC4" w:rsidRDefault="005C3678" w:rsidP="005C3678">
      <w:pPr>
        <w:ind w:left="3969" w:hanging="3402"/>
        <w:jc w:val="both"/>
      </w:pPr>
      <w:r w:rsidRPr="003E5FC4">
        <w:t>Huella Co2 académico año (2):</w:t>
      </w:r>
      <w:r w:rsidRPr="003E5FC4">
        <w:tab/>
        <w:t>122.360 kg Co</w:t>
      </w:r>
      <w:r w:rsidRPr="003E5FC4">
        <w:rPr>
          <w:vertAlign w:val="superscript"/>
        </w:rPr>
        <w:t>2</w:t>
      </w:r>
      <w:r w:rsidRPr="003E5FC4">
        <w:t xml:space="preserve"> año (0.9+0.6*230)  para vehículo</w:t>
      </w:r>
    </w:p>
    <w:p w:rsidR="005C3678" w:rsidRPr="003E5FC4" w:rsidRDefault="005C3678" w:rsidP="005C3678">
      <w:pPr>
        <w:ind w:left="3969" w:hanging="3402"/>
        <w:jc w:val="both"/>
      </w:pPr>
    </w:p>
    <w:p w:rsidR="005C3678" w:rsidRPr="003E5FC4" w:rsidRDefault="005C3678" w:rsidP="005C3678">
      <w:pPr>
        <w:ind w:left="3969" w:hanging="3402"/>
        <w:jc w:val="both"/>
        <w:rPr>
          <w:b/>
        </w:rPr>
      </w:pPr>
      <w:r w:rsidRPr="003E5FC4">
        <w:rPr>
          <w:b/>
        </w:rPr>
        <w:t>Huella Co2 académico total año:</w:t>
      </w:r>
      <w:r w:rsidRPr="003E5FC4">
        <w:rPr>
          <w:b/>
        </w:rPr>
        <w:tab/>
        <w:t>372.048 kg Co</w:t>
      </w:r>
      <w:r w:rsidRPr="003E5FC4">
        <w:rPr>
          <w:b/>
          <w:vertAlign w:val="superscript"/>
        </w:rPr>
        <w:t>2</w:t>
      </w:r>
      <w:r w:rsidRPr="003E5FC4">
        <w:rPr>
          <w:b/>
        </w:rPr>
        <w:t xml:space="preserve"> año</w:t>
      </w:r>
      <w:r>
        <w:rPr>
          <w:b/>
        </w:rPr>
        <w:t xml:space="preserve"> ó</w:t>
      </w:r>
      <w:r w:rsidRPr="003E5FC4">
        <w:rPr>
          <w:b/>
        </w:rPr>
        <w:t xml:space="preserve"> 372,048 ton Co</w:t>
      </w:r>
      <w:r w:rsidRPr="003E5FC4">
        <w:rPr>
          <w:b/>
          <w:vertAlign w:val="superscript"/>
        </w:rPr>
        <w:t>2</w:t>
      </w:r>
      <w:r w:rsidRPr="003E5FC4">
        <w:rPr>
          <w:b/>
        </w:rPr>
        <w:t xml:space="preserve"> año</w:t>
      </w:r>
    </w:p>
    <w:p w:rsidR="005C3678" w:rsidRDefault="005C3678" w:rsidP="005C3678">
      <w:pPr>
        <w:ind w:left="3969" w:hanging="3402"/>
        <w:jc w:val="both"/>
      </w:pPr>
    </w:p>
    <w:p w:rsidR="005C3678" w:rsidRDefault="005C3678" w:rsidP="005C3678">
      <w:pPr>
        <w:ind w:left="3969" w:hanging="3402"/>
        <w:jc w:val="both"/>
        <w:rPr>
          <w:u w:val="single"/>
        </w:rPr>
      </w:pPr>
    </w:p>
    <w:p w:rsidR="005C3678" w:rsidRPr="0043573A" w:rsidRDefault="005C3678" w:rsidP="005C3678">
      <w:pPr>
        <w:ind w:left="3969" w:hanging="3402"/>
        <w:jc w:val="both"/>
        <w:rPr>
          <w:u w:val="single"/>
        </w:rPr>
      </w:pPr>
      <w:r w:rsidRPr="0043573A">
        <w:rPr>
          <w:u w:val="single"/>
        </w:rPr>
        <w:t>Vehículos</w:t>
      </w:r>
    </w:p>
    <w:p w:rsidR="005C3678" w:rsidRDefault="005C3678" w:rsidP="005C3678">
      <w:pPr>
        <w:ind w:left="567"/>
        <w:jc w:val="both"/>
      </w:pPr>
      <w:r>
        <w:t>Para el cálculo del número de viajes en automóvil se realizó una estimación del número de vehículos lo que se puede asociar al número de estacionamientos y la tasa de uso de éstos</w:t>
      </w:r>
    </w:p>
    <w:p w:rsidR="005C3678" w:rsidRDefault="005C3678" w:rsidP="005C3678">
      <w:pPr>
        <w:ind w:left="3969" w:hanging="3402"/>
        <w:jc w:val="both"/>
      </w:pPr>
    </w:p>
    <w:p w:rsidR="005C3678" w:rsidRDefault="005C3678" w:rsidP="005C3678">
      <w:pPr>
        <w:ind w:left="3969" w:hanging="3402"/>
        <w:jc w:val="both"/>
      </w:pPr>
      <w:r>
        <w:t>N° estacionamientos G. Milla</w:t>
      </w:r>
      <w:r>
        <w:tab/>
        <w:t xml:space="preserve">162    </w:t>
      </w:r>
    </w:p>
    <w:p w:rsidR="005C3678" w:rsidRDefault="005C3678" w:rsidP="005C3678">
      <w:pPr>
        <w:ind w:left="3969" w:hanging="3402"/>
        <w:jc w:val="both"/>
      </w:pPr>
      <w:r>
        <w:t xml:space="preserve">N° estacionamientos rectoría </w:t>
      </w:r>
      <w:r>
        <w:tab/>
        <w:t>40</w:t>
      </w:r>
    </w:p>
    <w:p w:rsidR="005C3678" w:rsidRDefault="005C3678" w:rsidP="005C3678">
      <w:pPr>
        <w:ind w:left="3969" w:hanging="3402"/>
        <w:jc w:val="both"/>
      </w:pPr>
      <w:r>
        <w:t>N° estacionamientos J.P.A.</w:t>
      </w:r>
      <w:r>
        <w:tab/>
        <w:t>80</w:t>
      </w:r>
    </w:p>
    <w:p w:rsidR="005C3678" w:rsidRPr="00C27114" w:rsidRDefault="005C3678" w:rsidP="005C3678">
      <w:pPr>
        <w:ind w:left="3969" w:hanging="3402"/>
        <w:jc w:val="both"/>
        <w:rPr>
          <w:b/>
        </w:rPr>
      </w:pPr>
      <w:r w:rsidRPr="00C27114">
        <w:rPr>
          <w:b/>
        </w:rPr>
        <w:t xml:space="preserve">Total </w:t>
      </w:r>
      <w:r w:rsidRPr="00C27114">
        <w:rPr>
          <w:b/>
        </w:rPr>
        <w:tab/>
        <w:t>282</w:t>
      </w:r>
    </w:p>
    <w:p w:rsidR="005C3678" w:rsidRDefault="005C3678" w:rsidP="005C3678">
      <w:pPr>
        <w:ind w:left="3969" w:hanging="3402"/>
        <w:jc w:val="both"/>
      </w:pPr>
    </w:p>
    <w:p w:rsidR="005C3678" w:rsidRDefault="005C3678" w:rsidP="005C3678">
      <w:pPr>
        <w:ind w:left="567"/>
        <w:jc w:val="both"/>
      </w:pPr>
      <w:r>
        <w:t>Habiendo entrevistado a los porteros y hecho un recuento en dos días diferentes, se estima que la tasa de uso de los estacionamientos es de alrededor de 1,2, por lo tanto, ingresarían 338,4 vehículos diarios.  Sin embargo, en esta tasa de uso están incluidas diferentes personas ajenas al campus, como vendedores, visitas a profesores, trámites administrativos, etc.  Por ello, se ha decidido estimar el número de vehículos diarios en la misma cantidad de estacionamientos existentes, es decir, 282.</w:t>
      </w:r>
    </w:p>
    <w:p w:rsidR="005C3678" w:rsidRDefault="005C3678" w:rsidP="005C3678">
      <w:pPr>
        <w:ind w:left="567"/>
        <w:jc w:val="both"/>
      </w:pPr>
    </w:p>
    <w:p w:rsidR="005C3678" w:rsidRDefault="005C3678" w:rsidP="005C3678">
      <w:pPr>
        <w:ind w:left="567"/>
        <w:jc w:val="both"/>
      </w:pPr>
      <w:r>
        <w:t xml:space="preserve">Como no se sabe con seguridad a quién pertenecen los vehículos, se hace un </w:t>
      </w:r>
      <w:r w:rsidRPr="00293A95">
        <w:rPr>
          <w:b/>
        </w:rPr>
        <w:t>primer</w:t>
      </w:r>
      <w:r>
        <w:t xml:space="preserve"> </w:t>
      </w:r>
      <w:r>
        <w:rPr>
          <w:b/>
        </w:rPr>
        <w:t xml:space="preserve">supuesto </w:t>
      </w:r>
      <w:r w:rsidRPr="00293A95">
        <w:t>que</w:t>
      </w:r>
      <w:r>
        <w:t xml:space="preserve"> la mitad pertenece a funcionarios y la mitad a los docentes, es decir, 141 vehículos en cada caso </w:t>
      </w:r>
      <w:r w:rsidRPr="00293A95">
        <w:t xml:space="preserve"> </w:t>
      </w:r>
      <w:r>
        <w:t xml:space="preserve">    </w:t>
      </w:r>
    </w:p>
    <w:p w:rsidR="005C3678" w:rsidRDefault="005C3678" w:rsidP="005C3678">
      <w:pPr>
        <w:ind w:left="3969" w:hanging="3402"/>
        <w:jc w:val="both"/>
      </w:pPr>
    </w:p>
    <w:p w:rsidR="005C3678" w:rsidRDefault="005C3678" w:rsidP="005C3678">
      <w:pPr>
        <w:ind w:left="567"/>
        <w:jc w:val="both"/>
      </w:pPr>
      <w:r>
        <w:t xml:space="preserve">Respecto de la distancia recorrida y al no contar con una encuesta origen destino, el </w:t>
      </w:r>
      <w:r w:rsidRPr="00293A95">
        <w:rPr>
          <w:b/>
        </w:rPr>
        <w:t>segundo supuesto</w:t>
      </w:r>
      <w:r>
        <w:t xml:space="preserve"> es que vienen de la misma distancia que los alumnos y los funcionarios, esto es, 20 km. (40 km. ida y vuelta).  </w:t>
      </w:r>
    </w:p>
    <w:p w:rsidR="005C3678" w:rsidRDefault="005C3678" w:rsidP="005C3678">
      <w:pPr>
        <w:ind w:left="3969" w:hanging="3402"/>
        <w:jc w:val="both"/>
      </w:pPr>
    </w:p>
    <w:p w:rsidR="005C3678" w:rsidRPr="00FE7BEF" w:rsidRDefault="005C3678" w:rsidP="005C3678">
      <w:pPr>
        <w:ind w:left="3969" w:hanging="3402"/>
        <w:jc w:val="both"/>
      </w:pPr>
      <w:r w:rsidRPr="00FE7BEF">
        <w:t>Huella carbono auto:</w:t>
      </w:r>
      <w:r w:rsidRPr="00FE7BEF">
        <w:tab/>
        <w:t>0,19 kg Co</w:t>
      </w:r>
      <w:r w:rsidRPr="00FE7BEF">
        <w:rPr>
          <w:vertAlign w:val="superscript"/>
        </w:rPr>
        <w:t xml:space="preserve">2 </w:t>
      </w:r>
      <w:r w:rsidRPr="00FE7BEF">
        <w:t>por kilómetro</w:t>
      </w:r>
    </w:p>
    <w:p w:rsidR="005C3678" w:rsidRPr="00FE7BEF" w:rsidRDefault="005C3678" w:rsidP="005C3678">
      <w:pPr>
        <w:ind w:left="3969" w:hanging="3402"/>
        <w:jc w:val="both"/>
      </w:pPr>
      <w:r w:rsidRPr="00FE7BEF">
        <w:t>Huella Co2 día x auto:</w:t>
      </w:r>
      <w:r w:rsidRPr="00FE7BEF">
        <w:tab/>
        <w:t>7,6 kg  Co</w:t>
      </w:r>
      <w:r w:rsidRPr="00FE7BEF">
        <w:rPr>
          <w:vertAlign w:val="superscript"/>
        </w:rPr>
        <w:t>2</w:t>
      </w:r>
      <w:r w:rsidRPr="00FE7BEF">
        <w:t xml:space="preserve"> día  (40 km totales)</w:t>
      </w:r>
    </w:p>
    <w:p w:rsidR="005C3678" w:rsidRPr="00A50DB3" w:rsidRDefault="005C3678" w:rsidP="005C3678">
      <w:pPr>
        <w:jc w:val="both"/>
        <w:rPr>
          <w:rFonts w:eastAsia="Times New Roman" w:cstheme="minorHAnsi"/>
          <w:b/>
          <w:color w:val="4F6228" w:themeColor="accent3" w:themeShade="80"/>
          <w:sz w:val="24"/>
          <w:szCs w:val="24"/>
          <w:lang w:eastAsia="es-CL"/>
        </w:rPr>
      </w:pPr>
      <w:r>
        <w:rPr>
          <w:rFonts w:eastAsia="Times New Roman" w:cstheme="minorHAnsi"/>
          <w:b/>
          <w:color w:val="4F6228" w:themeColor="accent3" w:themeShade="80"/>
          <w:sz w:val="24"/>
          <w:szCs w:val="24"/>
          <w:lang w:eastAsia="es-CL"/>
        </w:rPr>
        <w:t xml:space="preserve"> </w:t>
      </w:r>
    </w:p>
    <w:p w:rsidR="005C3678" w:rsidRPr="0035424C" w:rsidRDefault="005C3678" w:rsidP="005C3678">
      <w:pPr>
        <w:jc w:val="both"/>
        <w:rPr>
          <w:rFonts w:eastAsia="Times New Roman" w:cstheme="minorHAnsi"/>
          <w:b/>
          <w:sz w:val="24"/>
          <w:szCs w:val="24"/>
          <w:lang w:eastAsia="es-CL"/>
        </w:rPr>
      </w:pPr>
      <w:r w:rsidRPr="0035424C">
        <w:rPr>
          <w:rFonts w:eastAsia="Times New Roman" w:cstheme="minorHAnsi"/>
          <w:b/>
          <w:sz w:val="24"/>
          <w:szCs w:val="24"/>
          <w:lang w:eastAsia="es-CL"/>
        </w:rPr>
        <w:t>6.3</w:t>
      </w:r>
    </w:p>
    <w:p w:rsidR="005C3678" w:rsidRPr="00A50DB3" w:rsidRDefault="005C3678" w:rsidP="005C3678">
      <w:pPr>
        <w:jc w:val="both"/>
        <w:rPr>
          <w:rFonts w:eastAsia="Times New Roman" w:cstheme="minorHAnsi"/>
          <w:bCs/>
          <w:color w:val="FF0000"/>
          <w:sz w:val="24"/>
          <w:szCs w:val="24"/>
          <w:lang w:val="es-ES" w:eastAsia="es-CL"/>
        </w:rPr>
      </w:pPr>
      <w:r w:rsidRPr="00A50DB3">
        <w:rPr>
          <w:rFonts w:eastAsia="Times New Roman" w:cstheme="minorHAnsi"/>
          <w:b/>
          <w:bCs/>
          <w:color w:val="FF0000"/>
          <w:sz w:val="24"/>
          <w:szCs w:val="24"/>
          <w:lang w:val="es-ES" w:eastAsia="es-CL"/>
        </w:rPr>
        <w:t>Evidencia</w:t>
      </w:r>
      <w:r w:rsidRPr="00A50DB3">
        <w:rPr>
          <w:rFonts w:eastAsia="Times New Roman" w:cstheme="minorHAnsi"/>
          <w:bCs/>
          <w:color w:val="FF0000"/>
          <w:sz w:val="24"/>
          <w:szCs w:val="24"/>
          <w:lang w:val="es-ES" w:eastAsia="es-CL"/>
        </w:rPr>
        <w:t>. Generar registro mensual y anual de consumo de papel. Se sugiere periodo 2014. 2015 y 2016.</w:t>
      </w:r>
    </w:p>
    <w:p w:rsidR="005C3678" w:rsidRPr="00A50DB3" w:rsidRDefault="005C3678" w:rsidP="005C3678">
      <w:pPr>
        <w:jc w:val="both"/>
        <w:rPr>
          <w:rFonts w:eastAsia="Times New Roman" w:cstheme="minorHAnsi"/>
          <w:bCs/>
          <w:color w:val="4F6228" w:themeColor="accent3" w:themeShade="80"/>
          <w:sz w:val="24"/>
          <w:szCs w:val="24"/>
          <w:lang w:val="es-ES" w:eastAsia="es-CL"/>
        </w:rPr>
      </w:pPr>
    </w:p>
    <w:p w:rsidR="005C3678" w:rsidRPr="009A21C5" w:rsidRDefault="005C3678" w:rsidP="005C3678">
      <w:pPr>
        <w:jc w:val="both"/>
        <w:rPr>
          <w:rFonts w:eastAsia="Times New Roman" w:cstheme="minorHAnsi"/>
          <w:bCs/>
          <w:sz w:val="24"/>
          <w:szCs w:val="24"/>
          <w:lang w:val="es-ES" w:eastAsia="es-CL"/>
        </w:rPr>
      </w:pPr>
      <w:r w:rsidRPr="009A21C5">
        <w:rPr>
          <w:rFonts w:eastAsia="Times New Roman" w:cstheme="minorHAnsi"/>
          <w:bCs/>
          <w:sz w:val="24"/>
          <w:szCs w:val="24"/>
          <w:lang w:val="es-ES" w:eastAsia="es-CL"/>
        </w:rPr>
        <w:t xml:space="preserve">Hemos podido hasta la fecha obtener información desde enero 2015 hasta agosto 2016, lo que se muestra en el  </w:t>
      </w:r>
      <w:r w:rsidRPr="00DC6C8C">
        <w:rPr>
          <w:rFonts w:eastAsia="Times New Roman" w:cstheme="minorHAnsi"/>
          <w:b/>
          <w:bCs/>
          <w:sz w:val="24"/>
          <w:szCs w:val="24"/>
          <w:lang w:val="es-ES" w:eastAsia="es-CL"/>
        </w:rPr>
        <w:t>Anexo 6.3 Consumo de papel.xls</w:t>
      </w:r>
      <w:r w:rsidRPr="009A21C5">
        <w:rPr>
          <w:rFonts w:eastAsia="Times New Roman" w:cstheme="minorHAnsi"/>
          <w:bCs/>
          <w:sz w:val="24"/>
          <w:szCs w:val="24"/>
          <w:lang w:val="es-ES" w:eastAsia="es-CL"/>
        </w:rPr>
        <w:t xml:space="preserve">.  </w:t>
      </w:r>
    </w:p>
    <w:p w:rsidR="005C3678" w:rsidRPr="009A21C5" w:rsidRDefault="005C3678" w:rsidP="005C3678">
      <w:pPr>
        <w:jc w:val="both"/>
        <w:rPr>
          <w:rFonts w:eastAsia="Times New Roman" w:cstheme="minorHAnsi"/>
          <w:bCs/>
          <w:sz w:val="24"/>
          <w:szCs w:val="24"/>
          <w:lang w:val="es-ES" w:eastAsia="es-CL"/>
        </w:rPr>
      </w:pPr>
    </w:p>
    <w:p w:rsidR="005C3678" w:rsidRPr="007F6B2C" w:rsidRDefault="005C3678" w:rsidP="005C3678">
      <w:pPr>
        <w:jc w:val="both"/>
        <w:rPr>
          <w:rFonts w:eastAsia="Times New Roman" w:cstheme="minorHAnsi"/>
          <w:bCs/>
          <w:color w:val="4F6228" w:themeColor="accent3" w:themeShade="80"/>
          <w:sz w:val="24"/>
          <w:szCs w:val="24"/>
          <w:lang w:val="es-ES" w:eastAsia="es-CL"/>
        </w:rPr>
      </w:pPr>
      <w:r w:rsidRPr="009A21C5">
        <w:rPr>
          <w:rFonts w:eastAsia="Times New Roman" w:cstheme="minorHAnsi"/>
          <w:bCs/>
          <w:sz w:val="24"/>
          <w:szCs w:val="24"/>
          <w:lang w:val="es-ES" w:eastAsia="es-CL"/>
        </w:rPr>
        <w:t xml:space="preserve">No obstante lo anterior, todavía no tenemos el monto total en una unidad de medida uniforme, idealmente, peso en kg.  de modo de incluirlo en la medición de huella de Co2 </w:t>
      </w:r>
      <w:proofErr w:type="spellStart"/>
      <w:r w:rsidRPr="009A21C5">
        <w:rPr>
          <w:rFonts w:eastAsia="Times New Roman" w:cstheme="minorHAnsi"/>
          <w:bCs/>
          <w:sz w:val="24"/>
          <w:szCs w:val="24"/>
          <w:lang w:val="es-ES" w:eastAsia="es-CL"/>
        </w:rPr>
        <w:t>eq</w:t>
      </w:r>
      <w:proofErr w:type="spellEnd"/>
      <w:r w:rsidRPr="009A21C5">
        <w:rPr>
          <w:rFonts w:eastAsia="Times New Roman" w:cstheme="minorHAnsi"/>
          <w:bCs/>
          <w:sz w:val="24"/>
          <w:szCs w:val="24"/>
          <w:lang w:val="es-ES" w:eastAsia="es-CL"/>
        </w:rPr>
        <w:t>.  Efectivamente, la información se contabiliza, como rollos –de muchos tipos- resmas de papel también se mucho tipos, y otras formas.  Nos encontramos realizando la conversión a un factor común y estará lista a la brevedad</w:t>
      </w:r>
      <w:r>
        <w:rPr>
          <w:rFonts w:eastAsia="Times New Roman" w:cstheme="minorHAnsi"/>
          <w:b/>
          <w:bCs/>
          <w:sz w:val="24"/>
          <w:szCs w:val="24"/>
          <w:lang w:val="es-ES" w:eastAsia="es-CL"/>
        </w:rPr>
        <w:t xml:space="preserve">. </w:t>
      </w:r>
    </w:p>
    <w:p w:rsidR="005C3678" w:rsidRDefault="005C3678" w:rsidP="005C3678">
      <w:pPr>
        <w:jc w:val="both"/>
        <w:rPr>
          <w:rFonts w:eastAsia="Times New Roman" w:cstheme="minorHAnsi"/>
          <w:b/>
          <w:bCs/>
          <w:color w:val="4F6228" w:themeColor="accent3" w:themeShade="80"/>
          <w:sz w:val="24"/>
          <w:szCs w:val="24"/>
          <w:lang w:val="es-ES" w:eastAsia="es-CL"/>
        </w:rPr>
      </w:pPr>
    </w:p>
    <w:p w:rsidR="005C3678" w:rsidRPr="0035424C" w:rsidRDefault="005C3678" w:rsidP="005C3678">
      <w:pPr>
        <w:jc w:val="both"/>
        <w:rPr>
          <w:rFonts w:eastAsia="Times New Roman" w:cstheme="minorHAnsi"/>
          <w:b/>
          <w:bCs/>
          <w:sz w:val="24"/>
          <w:szCs w:val="24"/>
          <w:lang w:val="es-ES" w:eastAsia="es-CL"/>
        </w:rPr>
      </w:pPr>
      <w:r w:rsidRPr="0035424C">
        <w:rPr>
          <w:rFonts w:eastAsia="Times New Roman" w:cstheme="minorHAnsi"/>
          <w:b/>
          <w:bCs/>
          <w:sz w:val="24"/>
          <w:szCs w:val="24"/>
          <w:lang w:val="es-ES" w:eastAsia="es-CL"/>
        </w:rPr>
        <w:t>6.4</w:t>
      </w:r>
    </w:p>
    <w:p w:rsidR="005C3678" w:rsidRPr="00A50DB3" w:rsidRDefault="005C3678" w:rsidP="005C3678">
      <w:pPr>
        <w:jc w:val="both"/>
        <w:rPr>
          <w:rFonts w:eastAsia="Times New Roman" w:cstheme="minorHAnsi"/>
          <w:color w:val="FF0000"/>
          <w:sz w:val="24"/>
          <w:szCs w:val="24"/>
          <w:lang w:eastAsia="es-CL"/>
        </w:rPr>
      </w:pPr>
      <w:r w:rsidRPr="00A50DB3">
        <w:rPr>
          <w:rFonts w:eastAsia="Times New Roman" w:cstheme="minorHAnsi"/>
          <w:b/>
          <w:bCs/>
          <w:color w:val="FF0000"/>
          <w:sz w:val="24"/>
          <w:szCs w:val="24"/>
          <w:lang w:val="es-ES" w:eastAsia="es-CL"/>
        </w:rPr>
        <w:t>Evidencia.</w:t>
      </w:r>
      <w:r w:rsidRPr="00A50DB3">
        <w:rPr>
          <w:rFonts w:eastAsia="Times New Roman" w:cstheme="minorHAnsi"/>
          <w:color w:val="FF0000"/>
          <w:sz w:val="24"/>
          <w:szCs w:val="24"/>
          <w:lang w:val="es-ES" w:eastAsia="es-CL"/>
        </w:rPr>
        <w:t xml:space="preserve"> </w:t>
      </w:r>
      <w:r w:rsidRPr="00A50DB3">
        <w:rPr>
          <w:rFonts w:eastAsia="Times New Roman" w:cstheme="minorHAnsi"/>
          <w:color w:val="FF0000"/>
          <w:sz w:val="24"/>
          <w:szCs w:val="24"/>
          <w:lang w:val="es-ES_tradnl" w:eastAsia="es-CL"/>
        </w:rPr>
        <w:t>La institución debe medir su huella de carbono considerando los alcances 1, 2 y 3. Se recomienda cálculo para periodos, 2014 y 2015, generar documento reporte de medición con su compromiso de reducción y publicación del reporte de huella de carbono.</w:t>
      </w:r>
    </w:p>
    <w:p w:rsidR="005C3678" w:rsidRPr="00A50DB3" w:rsidRDefault="005C3678" w:rsidP="005C3678">
      <w:pPr>
        <w:jc w:val="both"/>
        <w:rPr>
          <w:rFonts w:eastAsia="Times New Roman" w:cstheme="minorHAnsi"/>
          <w:color w:val="4F6228" w:themeColor="accent3" w:themeShade="80"/>
          <w:sz w:val="24"/>
          <w:szCs w:val="24"/>
          <w:lang w:eastAsia="es-CL"/>
        </w:rPr>
      </w:pPr>
    </w:p>
    <w:p w:rsidR="005C3678" w:rsidRDefault="005C3678" w:rsidP="005C3678">
      <w:pPr>
        <w:jc w:val="both"/>
        <w:rPr>
          <w:rFonts w:eastAsia="Times New Roman" w:cstheme="minorHAnsi"/>
          <w:sz w:val="24"/>
          <w:szCs w:val="24"/>
          <w:lang w:eastAsia="es-CL"/>
        </w:rPr>
      </w:pPr>
      <w:r>
        <w:rPr>
          <w:rFonts w:eastAsia="Times New Roman" w:cstheme="minorHAnsi"/>
          <w:sz w:val="24"/>
          <w:szCs w:val="24"/>
          <w:lang w:eastAsia="es-CL"/>
        </w:rPr>
        <w:t xml:space="preserve">Verificador </w:t>
      </w:r>
    </w:p>
    <w:p w:rsidR="005C3678" w:rsidRPr="00466096" w:rsidRDefault="005C3678" w:rsidP="005C3678">
      <w:pPr>
        <w:jc w:val="both"/>
        <w:rPr>
          <w:rFonts w:eastAsia="Times New Roman" w:cstheme="minorHAnsi"/>
          <w:sz w:val="24"/>
          <w:szCs w:val="24"/>
          <w:lang w:eastAsia="es-CL"/>
        </w:rPr>
      </w:pPr>
      <w:r w:rsidRPr="00466096">
        <w:rPr>
          <w:rFonts w:eastAsia="Times New Roman" w:cstheme="minorHAnsi"/>
          <w:sz w:val="24"/>
          <w:szCs w:val="24"/>
          <w:lang w:eastAsia="es-CL"/>
        </w:rPr>
        <w:t xml:space="preserve">Huella de carbono corporativa medida, con sus respectivos registros que permitan corroborar la medición, indicando el límite organizacional y considerando las acciones 6.1, 6.2 y 6.3 El año base considerando será aquel que las IES estimen conveniente. </w:t>
      </w:r>
    </w:p>
    <w:p w:rsidR="005C3678" w:rsidRPr="00466096" w:rsidRDefault="005C3678" w:rsidP="005C3678">
      <w:pPr>
        <w:jc w:val="both"/>
        <w:rPr>
          <w:rFonts w:eastAsia="Times New Roman" w:cstheme="minorHAnsi"/>
          <w:sz w:val="24"/>
          <w:szCs w:val="24"/>
          <w:lang w:eastAsia="es-CL"/>
        </w:rPr>
      </w:pPr>
      <w:r w:rsidRPr="00466096">
        <w:rPr>
          <w:rFonts w:eastAsia="Times New Roman" w:cstheme="minorHAnsi"/>
          <w:sz w:val="24"/>
          <w:szCs w:val="24"/>
          <w:lang w:eastAsia="es-CL"/>
        </w:rPr>
        <w:t>Para el caso de que la IES cuente con Huella de Carbono certificada, bastará con presentar el documento del organismo certificador.</w:t>
      </w:r>
    </w:p>
    <w:p w:rsidR="005C3678" w:rsidRDefault="005C3678" w:rsidP="005C3678">
      <w:pPr>
        <w:jc w:val="both"/>
        <w:rPr>
          <w:rFonts w:eastAsia="Times New Roman" w:cstheme="minorHAnsi"/>
          <w:i/>
          <w:sz w:val="24"/>
          <w:szCs w:val="24"/>
          <w:lang w:eastAsia="es-CL"/>
        </w:rPr>
      </w:pPr>
    </w:p>
    <w:p w:rsidR="005C3678" w:rsidRPr="00466096" w:rsidRDefault="005C3678" w:rsidP="005C3678">
      <w:pPr>
        <w:jc w:val="both"/>
        <w:rPr>
          <w:rFonts w:eastAsia="Times New Roman" w:cstheme="minorHAnsi"/>
          <w:b/>
          <w:sz w:val="24"/>
          <w:szCs w:val="24"/>
          <w:lang w:eastAsia="es-CL"/>
        </w:rPr>
      </w:pPr>
      <w:r w:rsidRPr="00466096">
        <w:rPr>
          <w:rFonts w:eastAsia="Times New Roman" w:cstheme="minorHAnsi"/>
          <w:b/>
          <w:sz w:val="24"/>
          <w:szCs w:val="24"/>
          <w:lang w:eastAsia="es-CL"/>
        </w:rPr>
        <w:t>Estamos en el proceso de rescatar información referente a la cuantificación del papel (ver más atrás)</w:t>
      </w:r>
      <w:r>
        <w:rPr>
          <w:rFonts w:eastAsia="Times New Roman" w:cstheme="minorHAnsi"/>
          <w:b/>
          <w:sz w:val="24"/>
          <w:szCs w:val="24"/>
          <w:lang w:eastAsia="es-CL"/>
        </w:rPr>
        <w:t xml:space="preserve"> y la estimación de consumo de dos instalaciones previamente definidas; el edificio de Rectoría y el edificio de Ciencias Básicas  </w:t>
      </w:r>
      <w:r w:rsidRPr="00466096">
        <w:rPr>
          <w:rFonts w:eastAsia="Times New Roman" w:cstheme="minorHAnsi"/>
          <w:b/>
          <w:sz w:val="24"/>
          <w:szCs w:val="24"/>
          <w:lang w:eastAsia="es-CL"/>
        </w:rPr>
        <w:t xml:space="preserve"> </w:t>
      </w:r>
    </w:p>
    <w:p w:rsidR="005C3678" w:rsidRDefault="005C3678" w:rsidP="005C3678">
      <w:pPr>
        <w:jc w:val="both"/>
        <w:rPr>
          <w:rFonts w:eastAsia="Times New Roman" w:cstheme="minorHAnsi"/>
          <w:b/>
          <w:sz w:val="24"/>
          <w:szCs w:val="24"/>
          <w:lang w:eastAsia="es-CL"/>
        </w:rPr>
      </w:pPr>
    </w:p>
    <w:p w:rsidR="005C3678" w:rsidRDefault="005C3678" w:rsidP="005C3678">
      <w:pPr>
        <w:jc w:val="both"/>
        <w:rPr>
          <w:rFonts w:eastAsia="Times New Roman" w:cstheme="minorHAnsi"/>
          <w:b/>
          <w:sz w:val="24"/>
          <w:szCs w:val="24"/>
          <w:lang w:eastAsia="es-CL"/>
        </w:rPr>
      </w:pPr>
      <w:r>
        <w:rPr>
          <w:rFonts w:eastAsia="Times New Roman" w:cstheme="minorHAnsi"/>
          <w:b/>
          <w:sz w:val="24"/>
          <w:szCs w:val="24"/>
          <w:lang w:eastAsia="es-CL"/>
        </w:rPr>
        <w:t>6.5</w:t>
      </w:r>
    </w:p>
    <w:p w:rsidR="005C3678" w:rsidRDefault="005C3678" w:rsidP="005C3678">
      <w:pPr>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Tahoma"/>
          <w:color w:val="FF0000"/>
          <w:lang w:val="es-ES_tradnl"/>
        </w:rPr>
        <w:t>La institución debe medir su huella de carbono considerando los alcances 1, 2 y 3. Se recomienda cálculo para periodos 2014 y 2015, generar documento reporte de medición con su compromiso de reducción y publicación del reporte de huella de carbono.</w:t>
      </w:r>
    </w:p>
    <w:p w:rsidR="005C3678" w:rsidRDefault="005C3678" w:rsidP="005C3678">
      <w:pPr>
        <w:jc w:val="both"/>
        <w:rPr>
          <w:rFonts w:eastAsia="Times New Roman" w:cstheme="minorHAnsi"/>
          <w:b/>
          <w:sz w:val="24"/>
          <w:szCs w:val="24"/>
          <w:lang w:eastAsia="es-CL"/>
        </w:rPr>
      </w:pPr>
    </w:p>
    <w:p w:rsidR="005C3678" w:rsidRDefault="005C3678" w:rsidP="005C3678">
      <w:pPr>
        <w:jc w:val="both"/>
        <w:rPr>
          <w:rFonts w:eastAsia="Times New Roman" w:cstheme="minorHAnsi"/>
          <w:sz w:val="24"/>
          <w:szCs w:val="24"/>
          <w:lang w:eastAsia="es-CL"/>
        </w:rPr>
      </w:pPr>
      <w:r w:rsidRPr="00354BBC">
        <w:rPr>
          <w:rFonts w:eastAsia="Times New Roman" w:cstheme="minorHAnsi"/>
          <w:sz w:val="24"/>
          <w:szCs w:val="24"/>
          <w:lang w:eastAsia="es-CL"/>
        </w:rPr>
        <w:t>Acción 6.5 Las instituciones de educación superior, actualizarán anualmente su huella de carbono corporativa</w:t>
      </w:r>
    </w:p>
    <w:p w:rsidR="005C3678" w:rsidRDefault="005C3678" w:rsidP="005C3678">
      <w:pPr>
        <w:jc w:val="both"/>
        <w:rPr>
          <w:rFonts w:eastAsia="Times New Roman" w:cstheme="minorHAnsi"/>
          <w:sz w:val="24"/>
          <w:szCs w:val="24"/>
          <w:lang w:eastAsia="es-CL"/>
        </w:rPr>
      </w:pPr>
    </w:p>
    <w:p w:rsidR="005C3678" w:rsidRPr="00354BBC" w:rsidRDefault="005C3678" w:rsidP="005C3678">
      <w:pPr>
        <w:jc w:val="both"/>
        <w:rPr>
          <w:rFonts w:eastAsia="Times New Roman" w:cstheme="minorHAnsi"/>
          <w:sz w:val="24"/>
          <w:szCs w:val="24"/>
          <w:lang w:eastAsia="es-CL"/>
        </w:rPr>
      </w:pPr>
      <w:r w:rsidRPr="00354BBC">
        <w:rPr>
          <w:rFonts w:eastAsia="Times New Roman" w:cstheme="minorHAnsi"/>
          <w:sz w:val="24"/>
          <w:szCs w:val="24"/>
          <w:lang w:eastAsia="es-CL"/>
        </w:rPr>
        <w:t>VERIFICA</w:t>
      </w:r>
      <w:r>
        <w:rPr>
          <w:rFonts w:eastAsia="Times New Roman" w:cstheme="minorHAnsi"/>
          <w:sz w:val="24"/>
          <w:szCs w:val="24"/>
          <w:lang w:eastAsia="es-CL"/>
        </w:rPr>
        <w:t>DOR</w:t>
      </w:r>
    </w:p>
    <w:p w:rsidR="005C3678" w:rsidRPr="00354BBC" w:rsidRDefault="005C3678" w:rsidP="005C3678">
      <w:pPr>
        <w:jc w:val="both"/>
        <w:rPr>
          <w:rFonts w:eastAsia="Times New Roman" w:cstheme="minorHAnsi"/>
          <w:sz w:val="24"/>
          <w:szCs w:val="24"/>
          <w:lang w:eastAsia="es-CL"/>
        </w:rPr>
      </w:pPr>
      <w:r w:rsidRPr="00354BBC">
        <w:rPr>
          <w:rFonts w:eastAsia="Times New Roman" w:cstheme="minorHAnsi"/>
          <w:sz w:val="24"/>
          <w:szCs w:val="24"/>
          <w:lang w:eastAsia="es-CL"/>
        </w:rPr>
        <w:t xml:space="preserve">Huella de carbono corporativa anual actualizada, con sus respectivos registros que permitan corroborar la medición </w:t>
      </w:r>
    </w:p>
    <w:p w:rsidR="005C3678" w:rsidRDefault="005C3678" w:rsidP="005C3678">
      <w:pPr>
        <w:jc w:val="both"/>
        <w:rPr>
          <w:rFonts w:eastAsia="Times New Roman" w:cstheme="minorHAnsi"/>
          <w:b/>
          <w:color w:val="4F6228" w:themeColor="accent3" w:themeShade="80"/>
          <w:sz w:val="24"/>
          <w:szCs w:val="24"/>
          <w:lang w:eastAsia="es-CL"/>
        </w:rPr>
      </w:pPr>
    </w:p>
    <w:p w:rsidR="005C3678" w:rsidRPr="002E1D19" w:rsidRDefault="005C3678" w:rsidP="005C3678">
      <w:pPr>
        <w:jc w:val="both"/>
        <w:rPr>
          <w:rFonts w:eastAsia="Times New Roman" w:cstheme="minorHAnsi"/>
          <w:b/>
          <w:i/>
          <w:sz w:val="24"/>
          <w:szCs w:val="24"/>
          <w:lang w:eastAsia="es-CL"/>
        </w:rPr>
      </w:pPr>
      <w:r w:rsidRPr="002E1D19">
        <w:rPr>
          <w:rFonts w:eastAsia="Times New Roman" w:cstheme="minorHAnsi"/>
          <w:b/>
          <w:sz w:val="24"/>
          <w:szCs w:val="24"/>
          <w:lang w:eastAsia="es-CL"/>
        </w:rPr>
        <w:t xml:space="preserve">El verificador es: </w:t>
      </w:r>
    </w:p>
    <w:p w:rsidR="005C3678" w:rsidRPr="002E1D19" w:rsidRDefault="005C3678" w:rsidP="005C3678">
      <w:pPr>
        <w:jc w:val="both"/>
        <w:rPr>
          <w:rFonts w:eastAsia="Times New Roman" w:cstheme="minorHAnsi"/>
          <w:sz w:val="24"/>
          <w:szCs w:val="24"/>
          <w:lang w:eastAsia="es-CL"/>
        </w:rPr>
      </w:pPr>
      <w:r w:rsidRPr="002E1D19">
        <w:rPr>
          <w:rFonts w:eastAsia="Times New Roman" w:cstheme="minorHAnsi"/>
          <w:sz w:val="24"/>
          <w:szCs w:val="24"/>
          <w:lang w:eastAsia="es-CL"/>
        </w:rPr>
        <w:t xml:space="preserve">“Huella de carbono corporativa anual actualizada, con sus respectivos registros que permitan corroborar la medición” </w:t>
      </w:r>
    </w:p>
    <w:p w:rsidR="005C3678" w:rsidRDefault="005C3678" w:rsidP="005C3678">
      <w:pPr>
        <w:jc w:val="both"/>
        <w:rPr>
          <w:rFonts w:eastAsia="Times New Roman" w:cstheme="minorHAnsi"/>
          <w:sz w:val="24"/>
          <w:szCs w:val="24"/>
          <w:lang w:eastAsia="es-CL"/>
        </w:rPr>
      </w:pPr>
      <w:r w:rsidRPr="00466096">
        <w:rPr>
          <w:rFonts w:eastAsia="Times New Roman" w:cstheme="minorHAnsi"/>
          <w:sz w:val="24"/>
          <w:szCs w:val="24"/>
          <w:lang w:eastAsia="es-CL"/>
        </w:rPr>
        <w:t xml:space="preserve"> </w:t>
      </w:r>
    </w:p>
    <w:p w:rsidR="005C3678" w:rsidRPr="002E1D19" w:rsidRDefault="005C3678" w:rsidP="005C3678">
      <w:pPr>
        <w:jc w:val="both"/>
        <w:rPr>
          <w:rFonts w:eastAsia="Times New Roman" w:cstheme="minorHAnsi"/>
          <w:b/>
          <w:sz w:val="24"/>
          <w:szCs w:val="24"/>
          <w:lang w:eastAsia="es-CL"/>
        </w:rPr>
      </w:pPr>
      <w:r>
        <w:rPr>
          <w:rFonts w:eastAsia="Times New Roman" w:cstheme="minorHAnsi"/>
          <w:b/>
          <w:sz w:val="24"/>
          <w:szCs w:val="24"/>
          <w:lang w:eastAsia="es-CL"/>
        </w:rPr>
        <w:t xml:space="preserve">El indicador 6.5 se podrá cumplir a la brevedad pero ello depende del cumplimiento de las acciones anteriores. </w:t>
      </w:r>
    </w:p>
    <w:p w:rsidR="005C3678" w:rsidRPr="00466096" w:rsidRDefault="005C3678" w:rsidP="005C3678">
      <w:pPr>
        <w:jc w:val="both"/>
        <w:rPr>
          <w:rFonts w:eastAsia="Times New Roman" w:cstheme="minorHAnsi"/>
          <w:sz w:val="24"/>
          <w:szCs w:val="24"/>
          <w:lang w:val="es-ES_tradnl" w:eastAsia="es-CL"/>
        </w:rPr>
      </w:pPr>
    </w:p>
    <w:p w:rsidR="005C3678" w:rsidRDefault="005C3678" w:rsidP="005C3678">
      <w:pPr>
        <w:jc w:val="both"/>
        <w:rPr>
          <w:rFonts w:eastAsia="Times New Roman" w:cstheme="minorHAnsi"/>
          <w:b/>
          <w:sz w:val="24"/>
          <w:szCs w:val="24"/>
          <w:lang w:eastAsia="es-CL"/>
        </w:rPr>
      </w:pPr>
      <w:r w:rsidRPr="002E1D19">
        <w:rPr>
          <w:rFonts w:eastAsia="Times New Roman" w:cstheme="minorHAnsi"/>
          <w:b/>
          <w:sz w:val="24"/>
          <w:szCs w:val="24"/>
          <w:lang w:eastAsia="es-CL"/>
        </w:rPr>
        <w:t>6.6</w:t>
      </w:r>
    </w:p>
    <w:p w:rsidR="005C3678" w:rsidRDefault="005C3678" w:rsidP="005C3678">
      <w:pPr>
        <w:jc w:val="both"/>
        <w:rPr>
          <w:rFonts w:eastAsia="Times New Roman" w:cstheme="minorHAnsi"/>
          <w:b/>
          <w:sz w:val="24"/>
          <w:szCs w:val="24"/>
          <w:lang w:eastAsia="es-CL"/>
        </w:rPr>
      </w:pPr>
      <w:r w:rsidRPr="002E1D19">
        <w:rPr>
          <w:rFonts w:eastAsia="Times New Roman" w:cstheme="minorHAnsi"/>
          <w:b/>
          <w:sz w:val="24"/>
          <w:szCs w:val="24"/>
          <w:lang w:eastAsia="es-CL"/>
        </w:rPr>
        <w:t xml:space="preserve">Las instituciones de educación superior reportarán en su página web u otro medio de comunicación, su huella corporativa y el compromiso de reducción. </w:t>
      </w:r>
    </w:p>
    <w:p w:rsidR="005C3678" w:rsidRDefault="005C3678" w:rsidP="005C3678">
      <w:pPr>
        <w:jc w:val="both"/>
        <w:rPr>
          <w:rFonts w:ascii="Calibri" w:hAnsi="Calibri" w:cs="Arial"/>
          <w:b/>
          <w:bCs/>
          <w:color w:val="FF0000"/>
        </w:rPr>
      </w:pPr>
    </w:p>
    <w:p w:rsidR="005C3678" w:rsidRDefault="005C3678" w:rsidP="005C3678">
      <w:pPr>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Tahoma"/>
          <w:color w:val="FF0000"/>
          <w:lang w:val="es-ES_tradnl"/>
        </w:rPr>
        <w:t>La institución debe medir su huella de carbono considerando los alcances 1, 2 y 3. Se recomienda cálculo para periodos 2014 y 2015, generar documento reporte de medición con su compromiso de reducción y publicación del reporte de huella de carbono.</w:t>
      </w:r>
    </w:p>
    <w:p w:rsidR="005C3678" w:rsidRDefault="005C3678" w:rsidP="005C3678">
      <w:pPr>
        <w:jc w:val="both"/>
        <w:rPr>
          <w:rFonts w:eastAsia="Times New Roman" w:cstheme="minorHAnsi"/>
          <w:b/>
          <w:sz w:val="24"/>
          <w:szCs w:val="24"/>
          <w:lang w:val="es-ES_tradnl" w:eastAsia="es-CL"/>
        </w:rPr>
      </w:pPr>
    </w:p>
    <w:p w:rsidR="005C3678" w:rsidRPr="00DC6C8C" w:rsidRDefault="005C3678" w:rsidP="005C3678">
      <w:pPr>
        <w:jc w:val="both"/>
        <w:rPr>
          <w:rFonts w:ascii="Calibri" w:hAnsi="Calibri" w:cs="Tahoma"/>
          <w:color w:val="FF0000"/>
          <w:lang w:val="es-ES_tradnl"/>
        </w:rPr>
      </w:pPr>
      <w:r w:rsidRPr="00DC6C8C">
        <w:rPr>
          <w:rFonts w:eastAsia="Times New Roman" w:cstheme="minorHAnsi"/>
          <w:sz w:val="24"/>
          <w:szCs w:val="24"/>
          <w:lang w:val="es-ES_tradnl" w:eastAsia="es-CL"/>
        </w:rPr>
        <w:t>S</w:t>
      </w:r>
      <w:r w:rsidRPr="00DC6C8C">
        <w:rPr>
          <w:rFonts w:eastAsia="Times New Roman" w:cstheme="minorHAnsi"/>
          <w:sz w:val="24"/>
          <w:szCs w:val="24"/>
          <w:lang w:eastAsia="es-CL"/>
        </w:rPr>
        <w:t xml:space="preserve">e podrá cumplir con rapidez con aquella parte relativa a la publicación de la huella de Co2 eq institucional, en la página Web (dependiendo de la velocidad de avance en las acciones anteriores).  Para generar el compromiso, sin embargo, se debe tener claro cual es la emisión total actual (estará disponible a la brevedad), el estudio de alternativas de reducción, y el compromiso formal de la autoridad.  Confiamos tener todo ello para la segunda visita del evaluador, durante las dos últimas semanas de noviembre.      </w:t>
      </w:r>
    </w:p>
    <w:p w:rsidR="0064494B" w:rsidRDefault="0064494B"/>
    <w:sectPr w:rsidR="0064494B" w:rsidSect="000D5DB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78" w:rsidRDefault="005C3678" w:rsidP="005C3678">
      <w:r>
        <w:separator/>
      </w:r>
    </w:p>
  </w:endnote>
  <w:endnote w:type="continuationSeparator" w:id="0">
    <w:p w:rsidR="005C3678" w:rsidRDefault="005C3678" w:rsidP="005C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78" w:rsidRDefault="005C3678" w:rsidP="005C3678">
      <w:r>
        <w:separator/>
      </w:r>
    </w:p>
  </w:footnote>
  <w:footnote w:type="continuationSeparator" w:id="0">
    <w:p w:rsidR="005C3678" w:rsidRDefault="005C3678" w:rsidP="005C3678">
      <w:r>
        <w:continuationSeparator/>
      </w:r>
    </w:p>
  </w:footnote>
  <w:footnote w:id="1">
    <w:p w:rsidR="005C3678" w:rsidRDefault="005C3678" w:rsidP="005C3678">
      <w:pPr>
        <w:pStyle w:val="Textonotapie"/>
      </w:pPr>
      <w:r>
        <w:rPr>
          <w:rStyle w:val="Refdenotaalpie"/>
        </w:rPr>
        <w:footnoteRef/>
      </w:r>
      <w:r>
        <w:t xml:space="preserve"> </w:t>
      </w:r>
      <w:r w:rsidRPr="00784A32">
        <w:rPr>
          <w:sz w:val="16"/>
          <w:szCs w:val="16"/>
        </w:rPr>
        <w:t>El registro deberá seguir el formato establecido en el Anexo N° 2 del Acuerdo.</w:t>
      </w:r>
    </w:p>
  </w:footnote>
  <w:footnote w:id="2">
    <w:p w:rsidR="005C3678" w:rsidRPr="009F003B" w:rsidRDefault="005C3678" w:rsidP="005C3678">
      <w:pPr>
        <w:pStyle w:val="Textonotapie"/>
        <w:jc w:val="both"/>
        <w:rPr>
          <w:sz w:val="18"/>
          <w:szCs w:val="18"/>
        </w:rPr>
      </w:pPr>
      <w:r w:rsidRPr="009F003B">
        <w:rPr>
          <w:rStyle w:val="Refdenotaalpie"/>
          <w:sz w:val="18"/>
          <w:szCs w:val="18"/>
        </w:rPr>
        <w:footnoteRef/>
      </w:r>
      <w:r w:rsidRPr="009F003B">
        <w:rPr>
          <w:sz w:val="18"/>
          <w:szCs w:val="18"/>
        </w:rPr>
        <w:t xml:space="preserve"> La segunda semana de noviembre se contará con la información para 2014 y ene-ago 2015</w:t>
      </w:r>
    </w:p>
  </w:footnote>
  <w:footnote w:id="3">
    <w:p w:rsidR="005C3678" w:rsidRPr="009F003B" w:rsidRDefault="005C3678" w:rsidP="005C3678">
      <w:pPr>
        <w:pStyle w:val="Textonotapie"/>
        <w:jc w:val="both"/>
        <w:rPr>
          <w:sz w:val="18"/>
          <w:szCs w:val="18"/>
        </w:rPr>
      </w:pPr>
      <w:r w:rsidRPr="009F003B">
        <w:rPr>
          <w:rStyle w:val="Refdenotaalpie"/>
          <w:sz w:val="18"/>
          <w:szCs w:val="18"/>
        </w:rPr>
        <w:footnoteRef/>
      </w:r>
      <w:r w:rsidRPr="009F003B">
        <w:rPr>
          <w:sz w:val="18"/>
          <w:szCs w:val="18"/>
        </w:rPr>
        <w:t xml:space="preserve"> El mes de abril de 2016 presenta una anomalía en el mes de abril que estamos re chequeando.</w:t>
      </w:r>
    </w:p>
  </w:footnote>
  <w:footnote w:id="4">
    <w:p w:rsidR="005C3678" w:rsidRPr="008A7DE9" w:rsidRDefault="005C3678" w:rsidP="005C3678">
      <w:pPr>
        <w:pStyle w:val="Textonotapie"/>
        <w:rPr>
          <w:sz w:val="18"/>
          <w:szCs w:val="18"/>
        </w:rPr>
      </w:pPr>
      <w:r w:rsidRPr="008A7DE9">
        <w:rPr>
          <w:rStyle w:val="Refdenotaalpie"/>
          <w:sz w:val="18"/>
          <w:szCs w:val="18"/>
        </w:rPr>
        <w:footnoteRef/>
      </w:r>
      <w:r w:rsidRPr="008A7DE9">
        <w:rPr>
          <w:sz w:val="18"/>
          <w:szCs w:val="18"/>
        </w:rPr>
        <w:t xml:space="preserve"> </w:t>
      </w:r>
      <w:hyperlink r:id="rId1" w:history="1">
        <w:r w:rsidRPr="008A7DE9">
          <w:rPr>
            <w:rStyle w:val="Hipervnculo"/>
            <w:sz w:val="18"/>
            <w:szCs w:val="18"/>
          </w:rPr>
          <w:t>https://www.lipigas.cl/atencion-al-cliente/preguntas-frecuentes</w:t>
        </w:r>
      </w:hyperlink>
      <w:r w:rsidRPr="008A7DE9">
        <w:rPr>
          <w:sz w:val="18"/>
          <w:szCs w:val="18"/>
        </w:rPr>
        <w:t xml:space="preserve"> </w:t>
      </w:r>
    </w:p>
  </w:footnote>
  <w:footnote w:id="5">
    <w:p w:rsidR="005C3678" w:rsidRPr="003B211F" w:rsidRDefault="005C3678" w:rsidP="005C3678">
      <w:pPr>
        <w:pStyle w:val="Textonotapie"/>
        <w:rPr>
          <w:sz w:val="18"/>
          <w:szCs w:val="18"/>
        </w:rPr>
      </w:pPr>
      <w:r w:rsidRPr="003B211F">
        <w:rPr>
          <w:rStyle w:val="Refdenotaalpie"/>
          <w:sz w:val="18"/>
          <w:szCs w:val="18"/>
        </w:rPr>
        <w:footnoteRef/>
      </w:r>
      <w:r w:rsidRPr="003B211F">
        <w:rPr>
          <w:sz w:val="18"/>
          <w:szCs w:val="18"/>
        </w:rPr>
        <w:t xml:space="preserve"> La segunda semana de noviembre se contará con la información para 2014 y ene-ago 2015</w:t>
      </w:r>
    </w:p>
  </w:footnote>
  <w:footnote w:id="6">
    <w:p w:rsidR="005C3678" w:rsidRPr="00137FE2" w:rsidRDefault="005C3678" w:rsidP="005C3678">
      <w:pPr>
        <w:pStyle w:val="Textonotapie"/>
        <w:rPr>
          <w:sz w:val="20"/>
          <w:szCs w:val="20"/>
        </w:rPr>
      </w:pPr>
      <w:r w:rsidRPr="00137FE2">
        <w:rPr>
          <w:rStyle w:val="Refdenotaalpie"/>
          <w:sz w:val="20"/>
          <w:szCs w:val="20"/>
        </w:rPr>
        <w:footnoteRef/>
      </w:r>
      <w:r w:rsidRPr="00137FE2">
        <w:rPr>
          <w:sz w:val="20"/>
          <w:szCs w:val="20"/>
        </w:rPr>
        <w:t xml:space="preserve"> Estará listo la segunda semana de noviembre.  </w:t>
      </w:r>
    </w:p>
  </w:footnote>
  <w:footnote w:id="7">
    <w:p w:rsidR="005C3678" w:rsidRDefault="005C3678" w:rsidP="005C3678">
      <w:pPr>
        <w:pStyle w:val="Textonotapie"/>
      </w:pPr>
      <w:r>
        <w:rPr>
          <w:rStyle w:val="Refdenotaalpie"/>
        </w:rPr>
        <w:footnoteRef/>
      </w:r>
      <w:r w:rsidRPr="00B459F1">
        <w:rPr>
          <w:sz w:val="18"/>
          <w:szCs w:val="18"/>
        </w:rPr>
        <w:t xml:space="preserve"> La fuente de información es la “Ficha Institucional y Anexos.  UMCE 2016”</w:t>
      </w:r>
    </w:p>
  </w:footnote>
  <w:footnote w:id="8">
    <w:p w:rsidR="005C3678" w:rsidRPr="004004BE" w:rsidRDefault="005C3678" w:rsidP="005C3678">
      <w:pPr>
        <w:pStyle w:val="Textonotapie"/>
        <w:rPr>
          <w:sz w:val="18"/>
          <w:szCs w:val="18"/>
        </w:rPr>
      </w:pPr>
      <w:r w:rsidRPr="004004BE">
        <w:rPr>
          <w:rStyle w:val="Refdenotaalpie"/>
          <w:sz w:val="18"/>
          <w:szCs w:val="18"/>
        </w:rPr>
        <w:footnoteRef/>
      </w:r>
      <w:r w:rsidRPr="004004BE">
        <w:rPr>
          <w:sz w:val="18"/>
          <w:szCs w:val="18"/>
        </w:rPr>
        <w:t xml:space="preserve"> Para poder calcular huella de carbono se requiere poder estimar el número de viajes semanales.</w:t>
      </w:r>
    </w:p>
  </w:footnote>
  <w:footnote w:id="9">
    <w:p w:rsidR="005C3678" w:rsidRPr="004004BE" w:rsidRDefault="005C3678" w:rsidP="005C3678">
      <w:pPr>
        <w:pStyle w:val="Textonotapie"/>
        <w:rPr>
          <w:sz w:val="18"/>
          <w:szCs w:val="18"/>
        </w:rPr>
      </w:pPr>
      <w:r w:rsidRPr="004004BE">
        <w:rPr>
          <w:rStyle w:val="Refdenotaalpie"/>
          <w:sz w:val="18"/>
          <w:szCs w:val="18"/>
        </w:rPr>
        <w:footnoteRef/>
      </w:r>
      <w:r w:rsidRPr="004004BE">
        <w:rPr>
          <w:sz w:val="18"/>
          <w:szCs w:val="18"/>
        </w:rPr>
        <w:t xml:space="preserve"> A diciembre 2015</w:t>
      </w:r>
    </w:p>
  </w:footnote>
  <w:footnote w:id="10">
    <w:p w:rsidR="005C3678" w:rsidRPr="006374BD" w:rsidRDefault="005C3678" w:rsidP="005C3678">
      <w:pPr>
        <w:pStyle w:val="Textonotapie"/>
        <w:rPr>
          <w:sz w:val="18"/>
          <w:szCs w:val="18"/>
        </w:rPr>
      </w:pPr>
      <w:r w:rsidRPr="006374BD">
        <w:rPr>
          <w:rStyle w:val="Refdenotaalpie"/>
          <w:sz w:val="18"/>
          <w:szCs w:val="18"/>
        </w:rPr>
        <w:footnoteRef/>
      </w:r>
      <w:r w:rsidRPr="006374BD">
        <w:rPr>
          <w:sz w:val="18"/>
          <w:szCs w:val="18"/>
        </w:rPr>
        <w:t xml:space="preserve"> Los automóviles que se pueden apreciar en el campus se contabilizan en su totalidad para los académicos</w:t>
      </w:r>
    </w:p>
  </w:footnote>
  <w:footnote w:id="11">
    <w:p w:rsidR="005C3678" w:rsidRPr="008B6CB3" w:rsidRDefault="005C3678" w:rsidP="005C3678">
      <w:pPr>
        <w:pStyle w:val="Textonotapie"/>
        <w:rPr>
          <w:sz w:val="18"/>
          <w:szCs w:val="18"/>
        </w:rPr>
      </w:pPr>
      <w:r w:rsidRPr="008B6CB3">
        <w:rPr>
          <w:rStyle w:val="Refdenotaalpie"/>
          <w:sz w:val="18"/>
          <w:szCs w:val="18"/>
        </w:rPr>
        <w:footnoteRef/>
      </w:r>
      <w:r w:rsidRPr="008B6CB3">
        <w:rPr>
          <w:sz w:val="18"/>
          <w:szCs w:val="18"/>
        </w:rPr>
        <w:t xml:space="preserve"> Ver más adelante la forma de cálculo</w:t>
      </w:r>
    </w:p>
  </w:footnote>
  <w:footnote w:id="12">
    <w:p w:rsidR="005C3678" w:rsidRPr="00815FB0" w:rsidRDefault="005C3678" w:rsidP="005C3678">
      <w:pPr>
        <w:pStyle w:val="Textonotapie"/>
        <w:rPr>
          <w:sz w:val="18"/>
          <w:szCs w:val="18"/>
        </w:rPr>
      </w:pPr>
      <w:r w:rsidRPr="00815FB0">
        <w:rPr>
          <w:rStyle w:val="Refdenotaalpie"/>
          <w:sz w:val="18"/>
          <w:szCs w:val="18"/>
        </w:rPr>
        <w:footnoteRef/>
      </w:r>
      <w:r w:rsidRPr="00815FB0">
        <w:rPr>
          <w:sz w:val="18"/>
          <w:szCs w:val="18"/>
        </w:rPr>
        <w:t xml:space="preserve"> Vehículos y locomoción colectiva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E36"/>
    <w:multiLevelType w:val="hybridMultilevel"/>
    <w:tmpl w:val="F8F4448A"/>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696145"/>
    <w:multiLevelType w:val="hybridMultilevel"/>
    <w:tmpl w:val="A9605B6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1A295930"/>
    <w:multiLevelType w:val="hybridMultilevel"/>
    <w:tmpl w:val="C444E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BC371AF"/>
    <w:multiLevelType w:val="hybridMultilevel"/>
    <w:tmpl w:val="51047AE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3C2B7EB7"/>
    <w:multiLevelType w:val="hybridMultilevel"/>
    <w:tmpl w:val="54BC0CD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6B91C82"/>
    <w:multiLevelType w:val="hybridMultilevel"/>
    <w:tmpl w:val="BDE485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78"/>
    <w:rsid w:val="000D5DB9"/>
    <w:rsid w:val="004C09AD"/>
    <w:rsid w:val="005C3678"/>
    <w:rsid w:val="0064494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78"/>
    <w:pPr>
      <w:spacing w:after="0"/>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678"/>
    <w:pPr>
      <w:ind w:left="720"/>
      <w:contextualSpacing/>
    </w:pPr>
  </w:style>
  <w:style w:type="character" w:styleId="Hipervnculo">
    <w:name w:val="Hyperlink"/>
    <w:basedOn w:val="Fuentedeprrafopredeter"/>
    <w:uiPriority w:val="99"/>
    <w:unhideWhenUsed/>
    <w:rsid w:val="005C3678"/>
    <w:rPr>
      <w:color w:val="0000FF" w:themeColor="hyperlink"/>
      <w:u w:val="single"/>
    </w:rPr>
  </w:style>
  <w:style w:type="table" w:styleId="Tablaconcuadrcula">
    <w:name w:val="Table Grid"/>
    <w:basedOn w:val="Tablanormal"/>
    <w:uiPriority w:val="59"/>
    <w:rsid w:val="005C3678"/>
    <w:pPr>
      <w:spacing w:after="0"/>
    </w:pPr>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C3678"/>
    <w:rPr>
      <w:sz w:val="24"/>
      <w:szCs w:val="24"/>
    </w:rPr>
  </w:style>
  <w:style w:type="character" w:customStyle="1" w:styleId="TextonotapieCar">
    <w:name w:val="Texto nota pie Car"/>
    <w:basedOn w:val="Fuentedeprrafopredeter"/>
    <w:link w:val="Textonotapie"/>
    <w:uiPriority w:val="99"/>
    <w:rsid w:val="005C3678"/>
    <w:rPr>
      <w:rFonts w:eastAsiaTheme="minorHAnsi"/>
      <w:lang w:val="es-CL" w:eastAsia="en-US"/>
    </w:rPr>
  </w:style>
  <w:style w:type="character" w:styleId="Refdenotaalpie">
    <w:name w:val="footnote reference"/>
    <w:basedOn w:val="Fuentedeprrafopredeter"/>
    <w:uiPriority w:val="99"/>
    <w:unhideWhenUsed/>
    <w:rsid w:val="005C36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78"/>
    <w:pPr>
      <w:spacing w:after="0"/>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678"/>
    <w:pPr>
      <w:ind w:left="720"/>
      <w:contextualSpacing/>
    </w:pPr>
  </w:style>
  <w:style w:type="character" w:styleId="Hipervnculo">
    <w:name w:val="Hyperlink"/>
    <w:basedOn w:val="Fuentedeprrafopredeter"/>
    <w:uiPriority w:val="99"/>
    <w:unhideWhenUsed/>
    <w:rsid w:val="005C3678"/>
    <w:rPr>
      <w:color w:val="0000FF" w:themeColor="hyperlink"/>
      <w:u w:val="single"/>
    </w:rPr>
  </w:style>
  <w:style w:type="table" w:styleId="Tablaconcuadrcula">
    <w:name w:val="Table Grid"/>
    <w:basedOn w:val="Tablanormal"/>
    <w:uiPriority w:val="59"/>
    <w:rsid w:val="005C3678"/>
    <w:pPr>
      <w:spacing w:after="0"/>
    </w:pPr>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C3678"/>
    <w:rPr>
      <w:sz w:val="24"/>
      <w:szCs w:val="24"/>
    </w:rPr>
  </w:style>
  <w:style w:type="character" w:customStyle="1" w:styleId="TextonotapieCar">
    <w:name w:val="Texto nota pie Car"/>
    <w:basedOn w:val="Fuentedeprrafopredeter"/>
    <w:link w:val="Textonotapie"/>
    <w:uiPriority w:val="99"/>
    <w:rsid w:val="005C3678"/>
    <w:rPr>
      <w:rFonts w:eastAsiaTheme="minorHAnsi"/>
      <w:lang w:val="es-CL" w:eastAsia="en-US"/>
    </w:rPr>
  </w:style>
  <w:style w:type="character" w:styleId="Refdenotaalpie">
    <w:name w:val="footnote reference"/>
    <w:basedOn w:val="Fuentedeprrafopredeter"/>
    <w:uiPriority w:val="99"/>
    <w:unhideWhenUsed/>
    <w:rsid w:val="005C3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lipigas.cl/atencion-al-cliente/preguntas-frecuent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pegas\AUDITORIA\METAS\META%206\chilectra%20gasto%20mes%20y%20Co2%20e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pegas\AUDITORIA\METAS\META%206\metrogas%20(2)%20con%20emision.x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Kg Co2 eq</c:v>
          </c:tx>
          <c:invertIfNegative val="0"/>
          <c:cat>
            <c:numRef>
              <c:f>Hoja1!$E$4:$P$4</c:f>
              <c:numCache>
                <c:formatCode>mmm/yy</c:formatCode>
                <c:ptCount val="12"/>
                <c:pt idx="0">
                  <c:v>42583.0</c:v>
                </c:pt>
                <c:pt idx="1">
                  <c:v>42552.0</c:v>
                </c:pt>
                <c:pt idx="2">
                  <c:v>42522.0</c:v>
                </c:pt>
                <c:pt idx="3">
                  <c:v>42491.0</c:v>
                </c:pt>
                <c:pt idx="4">
                  <c:v>42461.0</c:v>
                </c:pt>
                <c:pt idx="5">
                  <c:v>42430.0</c:v>
                </c:pt>
                <c:pt idx="6">
                  <c:v>42401.0</c:v>
                </c:pt>
                <c:pt idx="7">
                  <c:v>42370.0</c:v>
                </c:pt>
                <c:pt idx="8">
                  <c:v>42339.0</c:v>
                </c:pt>
                <c:pt idx="9">
                  <c:v>42309.0</c:v>
                </c:pt>
                <c:pt idx="10">
                  <c:v>42278.0</c:v>
                </c:pt>
                <c:pt idx="11">
                  <c:v>42248.0</c:v>
                </c:pt>
              </c:numCache>
            </c:numRef>
          </c:cat>
          <c:val>
            <c:numRef>
              <c:f>Hoja1!$E$5:$P$5</c:f>
              <c:numCache>
                <c:formatCode>#,##0.0</c:formatCode>
                <c:ptCount val="12"/>
                <c:pt idx="0">
                  <c:v>72451.0</c:v>
                </c:pt>
                <c:pt idx="1">
                  <c:v>27893.87</c:v>
                </c:pt>
                <c:pt idx="2">
                  <c:v>80643.87000000002</c:v>
                </c:pt>
                <c:pt idx="3">
                  <c:v>135627.8</c:v>
                </c:pt>
                <c:pt idx="4">
                  <c:v>16242.76</c:v>
                </c:pt>
                <c:pt idx="5">
                  <c:v>91777.07</c:v>
                </c:pt>
                <c:pt idx="6">
                  <c:v>51594.24</c:v>
                </c:pt>
                <c:pt idx="7">
                  <c:v>70770.8</c:v>
                </c:pt>
                <c:pt idx="8">
                  <c:v>57207.9</c:v>
                </c:pt>
                <c:pt idx="9">
                  <c:v>70547.8</c:v>
                </c:pt>
                <c:pt idx="10">
                  <c:v>69678.46</c:v>
                </c:pt>
                <c:pt idx="11">
                  <c:v>70728.25</c:v>
                </c:pt>
              </c:numCache>
            </c:numRef>
          </c:val>
        </c:ser>
        <c:dLbls>
          <c:showLegendKey val="0"/>
          <c:showVal val="0"/>
          <c:showCatName val="0"/>
          <c:showSerName val="0"/>
          <c:showPercent val="0"/>
          <c:showBubbleSize val="0"/>
        </c:dLbls>
        <c:gapWidth val="150"/>
        <c:axId val="620865160"/>
        <c:axId val="473166680"/>
      </c:barChart>
      <c:dateAx>
        <c:axId val="620865160"/>
        <c:scaling>
          <c:orientation val="minMax"/>
        </c:scaling>
        <c:delete val="0"/>
        <c:axPos val="b"/>
        <c:numFmt formatCode="mmm/yy" sourceLinked="1"/>
        <c:majorTickMark val="out"/>
        <c:minorTickMark val="none"/>
        <c:tickLblPos val="nextTo"/>
        <c:crossAx val="473166680"/>
        <c:crosses val="autoZero"/>
        <c:auto val="1"/>
        <c:lblOffset val="100"/>
        <c:baseTimeUnit val="months"/>
      </c:dateAx>
      <c:valAx>
        <c:axId val="473166680"/>
        <c:scaling>
          <c:orientation val="minMax"/>
        </c:scaling>
        <c:delete val="0"/>
        <c:axPos val="l"/>
        <c:majorGridlines/>
        <c:numFmt formatCode="#,##0.0" sourceLinked="1"/>
        <c:majorTickMark val="out"/>
        <c:minorTickMark val="none"/>
        <c:tickLblPos val="nextTo"/>
        <c:crossAx val="620865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Co2 eq (kg.)</c:v>
          </c:tx>
          <c:invertIfNegative val="0"/>
          <c:cat>
            <c:strRef>
              <c:f>Hoja1!$E$3:$P$3</c:f>
              <c:strCache>
                <c:ptCount val="12"/>
                <c:pt idx="0">
                  <c:v>ago-2016</c:v>
                </c:pt>
                <c:pt idx="1">
                  <c:v>jul-2016</c:v>
                </c:pt>
                <c:pt idx="2">
                  <c:v>jun-2016</c:v>
                </c:pt>
                <c:pt idx="3">
                  <c:v>may-2016</c:v>
                </c:pt>
                <c:pt idx="4">
                  <c:v>abr-2016</c:v>
                </c:pt>
                <c:pt idx="5">
                  <c:v>mar-2016</c:v>
                </c:pt>
                <c:pt idx="6">
                  <c:v>feb-2016</c:v>
                </c:pt>
                <c:pt idx="7">
                  <c:v>ene-2016</c:v>
                </c:pt>
                <c:pt idx="8">
                  <c:v>dic-2015</c:v>
                </c:pt>
                <c:pt idx="9">
                  <c:v>nov-2015</c:v>
                </c:pt>
                <c:pt idx="10">
                  <c:v>oct-2015</c:v>
                </c:pt>
                <c:pt idx="11">
                  <c:v>sep-2015</c:v>
                </c:pt>
              </c:strCache>
            </c:strRef>
          </c:cat>
          <c:val>
            <c:numRef>
              <c:f>Hoja1!$E$4:$P$4</c:f>
              <c:numCache>
                <c:formatCode>_-* #,##0.00_-;\-* #,##0.00_-;_-* "-"??_-;_-@_-</c:formatCode>
                <c:ptCount val="12"/>
                <c:pt idx="0">
                  <c:v>21178.96179194884</c:v>
                </c:pt>
                <c:pt idx="1">
                  <c:v>23215.63658803195</c:v>
                </c:pt>
                <c:pt idx="2">
                  <c:v>18798.02470425603</c:v>
                </c:pt>
                <c:pt idx="3">
                  <c:v>11473.51046123522</c:v>
                </c:pt>
                <c:pt idx="4">
                  <c:v>7811.307295948794</c:v>
                </c:pt>
                <c:pt idx="5">
                  <c:v>4380.66266158082</c:v>
                </c:pt>
                <c:pt idx="6">
                  <c:v>2206.27</c:v>
                </c:pt>
                <c:pt idx="7">
                  <c:v>6177.081183436801</c:v>
                </c:pt>
                <c:pt idx="8">
                  <c:v>4789.73716945921</c:v>
                </c:pt>
                <c:pt idx="9">
                  <c:v>9446.67728040959</c:v>
                </c:pt>
                <c:pt idx="10">
                  <c:v>17144.63334097909</c:v>
                </c:pt>
                <c:pt idx="11">
                  <c:v>15015.0243446784</c:v>
                </c:pt>
              </c:numCache>
            </c:numRef>
          </c:val>
        </c:ser>
        <c:dLbls>
          <c:showLegendKey val="0"/>
          <c:showVal val="0"/>
          <c:showCatName val="0"/>
          <c:showSerName val="0"/>
          <c:showPercent val="0"/>
          <c:showBubbleSize val="0"/>
        </c:dLbls>
        <c:gapWidth val="150"/>
        <c:axId val="441255688"/>
        <c:axId val="473902152"/>
      </c:barChart>
      <c:catAx>
        <c:axId val="441255688"/>
        <c:scaling>
          <c:orientation val="minMax"/>
        </c:scaling>
        <c:delete val="0"/>
        <c:axPos val="b"/>
        <c:majorTickMark val="out"/>
        <c:minorTickMark val="none"/>
        <c:tickLblPos val="nextTo"/>
        <c:crossAx val="473902152"/>
        <c:crosses val="autoZero"/>
        <c:auto val="1"/>
        <c:lblAlgn val="ctr"/>
        <c:lblOffset val="100"/>
        <c:noMultiLvlLbl val="0"/>
      </c:catAx>
      <c:valAx>
        <c:axId val="473902152"/>
        <c:scaling>
          <c:orientation val="minMax"/>
        </c:scaling>
        <c:delete val="0"/>
        <c:axPos val="l"/>
        <c:majorGridlines/>
        <c:numFmt formatCode="_-* #,##0.00_-;\-* #,##0.00_-;_-* &quot;-&quot;??_-;_-@_-" sourceLinked="1"/>
        <c:majorTickMark val="out"/>
        <c:minorTickMark val="none"/>
        <c:tickLblPos val="nextTo"/>
        <c:crossAx val="441255688"/>
        <c:crosses val="autoZero"/>
        <c:crossBetween val="between"/>
      </c:valAx>
    </c:plotArea>
    <c:legend>
      <c:legendPos val="r"/>
      <c:overlay val="0"/>
    </c:legend>
    <c:plotVisOnly val="1"/>
    <c:dispBlanksAs val="gap"/>
    <c:showDLblsOverMax val="0"/>
  </c:chart>
  <c:spPr>
    <a:ln>
      <a:solidFill>
        <a:schemeClr val="accent1"/>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2685</Words>
  <Characters>14768</Characters>
  <Application>Microsoft Macintosh Word</Application>
  <DocSecurity>0</DocSecurity>
  <Lines>123</Lines>
  <Paragraphs>34</Paragraphs>
  <ScaleCrop>false</ScaleCrop>
  <Company>UMCE</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 Thayer</dc:creator>
  <cp:keywords/>
  <dc:description/>
  <cp:lastModifiedBy>Tomas Thayer Thayer</cp:lastModifiedBy>
  <cp:revision>2</cp:revision>
  <cp:lastPrinted>2017-04-06T00:37:00Z</cp:lastPrinted>
  <dcterms:created xsi:type="dcterms:W3CDTF">2017-08-28T01:29:00Z</dcterms:created>
  <dcterms:modified xsi:type="dcterms:W3CDTF">2017-08-28T01:29:00Z</dcterms:modified>
</cp:coreProperties>
</file>