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Estimados, mediante el presente envío  el Informe de Auditoría APL Campus Sustentable con un cumplimiento de un 47% para el Camus Macul de la Universidad Metropolita de Ciencias de la Educación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Durante el proceso de auditoría se registraron las siguientes observaciones: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 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u w:val="single"/>
          <w:lang w:eastAsia="es-ES"/>
        </w:rPr>
        <w:t>No Conformidades</w:t>
      </w: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 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 xml:space="preserve">Acción 2.3. Se solicita carta </w:t>
      </w:r>
      <w:proofErr w:type="spellStart"/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gantt</w:t>
      </w:r>
      <w:proofErr w:type="spellEnd"/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 xml:space="preserve"> con la programación de actividades relacionadas a la implementación del curso.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 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Acción 5.2. La institución debe enviar compromiso de fecha exacta de inicio y convocatoria para al menos el módulo básico del Programa de Formación de Capacidades. Considerar realizar la actividad durante el año 2016.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 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Acción 5.4. y Acción 5.5. La institución debe implementar lista de chequeo, realizar evaluación de implementación de prácticas sustentables de laboratorios en talleres, salas de computación y oficinas de la universidad, además de realizar actividad de reconocimiento público a lugares de trabajo destacados en prácticas sustentables.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 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Acción 6.4, 6.5 y 6.6. La institución debe medir su huella de carbono considerando los alcances 1, 2 y 3. Se recomienda cálculo para periodos, 2014 y 2015, generar documento reporte de medición con su compromiso de reducción y publicación del reporte de huella de carbono.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 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Acción 7.1. La designación del encargado de eficiencia energética se encuentra en proceso de formalización. A la fecha se presenta solicitud de creación del cargo para la institución.  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 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Acción 7.6, 7.7, 7.8, 7.10. El documento de la acción 7.5. debe ser complementado con un análisis o evaluación de factibilidad técnico-económica para cada una de las oportunidades de eficiencia energética identificadas, identificando inversión, ahorro y periodo de recuperación de la inversión.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 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 xml:space="preserve">Las oportunidades de eficiencia energética deben ser consolidadas en un plan de implementación (carta </w:t>
      </w:r>
      <w:proofErr w:type="spellStart"/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gantt</w:t>
      </w:r>
      <w:proofErr w:type="spellEnd"/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 xml:space="preserve"> 2015-2018) que dé cuenta de al menos 4 medidas de eficiencia energética implementadas y de los proyectos y campañas a realizar en el mediano plazo futuro. Finalmente, desarrollar un informe reporte de los resultados y evolución del indicador de desempeño energético (KWH equivalente por m2 y/o per cápita). Estas actividades deben ser ejecutadas en el año 2016.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 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 xml:space="preserve">Acción 7.9. La institución debe generar una evaluación de factibilidad de sistema de generación ERNC y un compromiso y planificación (carta </w:t>
      </w:r>
      <w:proofErr w:type="spellStart"/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gantt</w:t>
      </w:r>
      <w:proofErr w:type="spellEnd"/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) firmado por la autoridad correspondiente con la implementación del sistema. Se sugiere que la implementación se realice durante el 1° semestre de 2017.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 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Acción 8.4, 8.5, 8.6. 8.7. La institución debe generar informe de situación inicial y situación actual del estado de los dispositivos de agua (sanitarios, urinarios, lavamanos, puntos de riego), en al menos las 2 instalaciones de mayor tamaño del campus. El levantamiento de dispositivos debe considerar al menos una evaluación de su estado (bueno, malo, regular) y de la tecnología (eficiente, no eficiente). Con lo anterior identificar oportunidades de mejora en el uso eficiente del agua y una evaluación de factibilidad técnico-económica de cada una de las oportunidades identificadas. Las de medidas evaluadas como favorables deberán ser incluidas en un plan de implementación 2015-2018 el que debe dar cuenta tanto de implementación de proyectos y campañas realizada como de las planificadas a futuro.  Finalmente, desarrollar informe de evolución del consumo de agua per cápita.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 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Acción 9.1. La institución debe completar registro de generación de residuos sólidos no peligrosos, de los años 2014, 2015 y 2016 según formato Anexo N° 3 del Acuerdo.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 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Acción 9.2. La institución debe completar registro de generación de residuos sólidos peligrosos, de los años 2014, 2015 y 2016 según formato Anexo N° 4 del Acuerdo.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 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 xml:space="preserve">Acción 9.6. Elaborar documento plan de gestión de residuos sólidos no peligrosos donde se identifiquen las prácticas adoptadas para la minimización y el reciclaje de los residuos. Considera en este </w:t>
      </w: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lastRenderedPageBreak/>
        <w:t>documento los convenios municipales y el proyecto de puntos limpios, incluir también metas de reciclaje para el periodo 2016-2018.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 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Acción 9.8. La institución mantiene el documento “Protocolo de prevención de riesgos en laboratorios y minimización de residuos químicos”, el cual se encuentra en proceso de socialización a los encargados de laboratorios.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 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Acción 9.9. Generar registro Anexo N°5 y N° 6 del Acuerdo de disposición o reciclaje de cada uno de los residuos.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 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Acción 10.2.  La institución mantiene el documento “Protocolo de prevención de riesgos en laboratorios y minimización de residuos químicos” el cual se encuentra en proceso de socialización a los encargados de laboratorios.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 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Se solicita entregar evidencia de capacitación o difusión a los encargados de los laboratorios y talleres del campus Macul.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 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Acción 10.3. La instalación informa que mantiene un inventario general de sustancias peligrosas utilizadas en talleres y laboratorios. Se solicita enviar listado en el cual se incluya al menos tipo, cantidad y clasificación de acuerdo a la NCh382.Of2004 y enviar croquis de la ubicación de almacenamiento de estas sustancias peligrosas al interior de los laboratorios y/o talleres.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 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Acción 10.4. La institución debe generar registro de entrega del plan a bomberos y municipio.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 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Acción 11.1. La institución debe realizar caracterizarán de aguas residuales con laboratorio acreditado. Se recomienda planificar muestreo continuo de laboratorio de biología o química y homologar los resultados con el resto de los edificios. Dependiendo de los resultados planificar acciones 11.2 y 11.3.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 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 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u w:val="single"/>
          <w:lang w:eastAsia="es-ES"/>
        </w:rPr>
        <w:t>Recomendaciones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 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bookmarkStart w:id="0" w:name="_GoBack"/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Acción 2.4. Se solicita envío de listado de participantes a las actividades en el que se identifiquen a los representantes de la Universidad Metropolitana de Ciencias de la Educación.</w:t>
      </w:r>
    </w:p>
    <w:bookmarkEnd w:id="0"/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 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De acuerdo a lo conversado, el plazo para en envío de pendientes y revisión  del informe (observaciones y/o comentarios) es hasta el día 14 de diciembre de 2016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Además se solita el envío de la encuesta de impacto el día martes 29 de noviembre de 2016..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 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Agradecido de su buena disposición con el proceso de auditoría les saludo cordialmente,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 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 </w:t>
      </w:r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Mauricio </w:t>
      </w:r>
      <w:proofErr w:type="spellStart"/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Allaires</w:t>
      </w:r>
      <w:proofErr w:type="spellEnd"/>
    </w:p>
    <w:p w:rsidR="00A84DD8" w:rsidRPr="00A84DD8" w:rsidRDefault="00A84DD8" w:rsidP="00A84DD8">
      <w:pPr>
        <w:shd w:val="clear" w:color="auto" w:fill="FFFFFF"/>
        <w:spacing w:after="0"/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</w:pPr>
      <w:proofErr w:type="spellStart"/>
      <w:r w:rsidRPr="00A84DD8">
        <w:rPr>
          <w:rFonts w:ascii="Arial" w:eastAsia="Times New Roman" w:hAnsi="Arial" w:cs="Times New Roman"/>
          <w:color w:val="222222"/>
          <w:sz w:val="19"/>
          <w:szCs w:val="19"/>
          <w:lang w:eastAsia="es-ES"/>
        </w:rPr>
        <w:t>Macrocap</w:t>
      </w:r>
      <w:proofErr w:type="spellEnd"/>
    </w:p>
    <w:p w:rsidR="0064494B" w:rsidRDefault="0064494B"/>
    <w:sectPr w:rsidR="0064494B" w:rsidSect="000D5DB9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D8"/>
    <w:rsid w:val="000D5DB9"/>
    <w:rsid w:val="0064494B"/>
    <w:rsid w:val="00A84DD8"/>
    <w:rsid w:val="00FD4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C0B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">
    <w:name w:val="il"/>
    <w:basedOn w:val="Fuentedeprrafopredeter"/>
    <w:rsid w:val="00A84DD8"/>
  </w:style>
  <w:style w:type="character" w:customStyle="1" w:styleId="apple-converted-space">
    <w:name w:val="apple-converted-space"/>
    <w:basedOn w:val="Fuentedeprrafopredeter"/>
    <w:rsid w:val="00A84DD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">
    <w:name w:val="il"/>
    <w:basedOn w:val="Fuentedeprrafopredeter"/>
    <w:rsid w:val="00A84DD8"/>
  </w:style>
  <w:style w:type="character" w:customStyle="1" w:styleId="apple-converted-space">
    <w:name w:val="apple-converted-space"/>
    <w:basedOn w:val="Fuentedeprrafopredeter"/>
    <w:rsid w:val="00A84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940</Words>
  <Characters>5173</Characters>
  <Application>Microsoft Macintosh Word</Application>
  <DocSecurity>0</DocSecurity>
  <Lines>43</Lines>
  <Paragraphs>12</Paragraphs>
  <ScaleCrop>false</ScaleCrop>
  <Company>UMCE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Thayer Thayer</dc:creator>
  <cp:keywords/>
  <dc:description/>
  <cp:lastModifiedBy>Tomas Thayer Thayer</cp:lastModifiedBy>
  <cp:revision>1</cp:revision>
  <dcterms:created xsi:type="dcterms:W3CDTF">2016-12-11T15:37:00Z</dcterms:created>
  <dcterms:modified xsi:type="dcterms:W3CDTF">2016-12-12T11:59:00Z</dcterms:modified>
</cp:coreProperties>
</file>